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 xml:space="preserve">с </w:t>
            </w:r>
            <w:r w:rsidR="00FF127D">
              <w:rPr>
                <w:b/>
                <w:sz w:val="28"/>
                <w:szCs w:val="28"/>
              </w:rPr>
              <w:t>един краен</w:t>
            </w:r>
            <w:r w:rsidRPr="00413AFD">
              <w:rPr>
                <w:b/>
                <w:sz w:val="28"/>
                <w:szCs w:val="28"/>
              </w:rPr>
              <w:t xml:space="preserve"> срок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Default="00A040C3" w:rsidP="00034117">
            <w:pPr>
              <w:jc w:val="center"/>
              <w:rPr>
                <w:b/>
                <w:sz w:val="28"/>
                <w:szCs w:val="28"/>
              </w:rP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w:t>
            </w:r>
            <w:r w:rsidR="00E80938">
              <w:rPr>
                <w:b/>
                <w:sz w:val="28"/>
                <w:szCs w:val="28"/>
                <w:lang w:bidi="bg-BG"/>
              </w:rPr>
              <w:t>609</w:t>
            </w:r>
            <w:r w:rsidR="007D0351" w:rsidRPr="004C79E7">
              <w:rPr>
                <w:b/>
                <w:sz w:val="28"/>
                <w:szCs w:val="28"/>
                <w:lang w:bidi="bg-BG"/>
              </w:rPr>
              <w:t xml:space="preserve"> </w:t>
            </w:r>
            <w:r w:rsidR="00D03420" w:rsidRPr="00C10833">
              <w:rPr>
                <w:b/>
                <w:sz w:val="28"/>
                <w:szCs w:val="28"/>
                <w:lang w:bidi="bg-BG"/>
              </w:rPr>
              <w:t>„</w:t>
            </w:r>
            <w:r w:rsidR="006D2656" w:rsidRPr="00C10833">
              <w:rPr>
                <w:b/>
                <w:sz w:val="28"/>
                <w:szCs w:val="28"/>
              </w:rPr>
              <w:t>МИГ –</w:t>
            </w:r>
            <w:r w:rsidR="00425CC6" w:rsidRPr="00C10833">
              <w:rPr>
                <w:b/>
                <w:sz w:val="28"/>
                <w:szCs w:val="28"/>
              </w:rPr>
              <w:t xml:space="preserve">община </w:t>
            </w:r>
            <w:r w:rsidR="006D2656" w:rsidRPr="00C10833">
              <w:rPr>
                <w:b/>
                <w:sz w:val="28"/>
                <w:szCs w:val="28"/>
              </w:rPr>
              <w:t>Марица</w:t>
            </w:r>
            <w:r w:rsidR="00D94ACA" w:rsidRPr="00C10833">
              <w:rPr>
                <w:b/>
                <w:sz w:val="28"/>
                <w:szCs w:val="28"/>
              </w:rPr>
              <w:t xml:space="preserve"> - Мярка М7.</w:t>
            </w:r>
            <w:r w:rsidR="00034117" w:rsidRPr="00C10833">
              <w:rPr>
                <w:b/>
                <w:sz w:val="28"/>
                <w:szCs w:val="28"/>
              </w:rPr>
              <w:t>5</w:t>
            </w:r>
            <w:r w:rsidR="00D94ACA" w:rsidRPr="00C10833">
              <w:rPr>
                <w:b/>
                <w:sz w:val="28"/>
                <w:szCs w:val="28"/>
              </w:rPr>
              <w:t xml:space="preserve">. Инвестиции </w:t>
            </w:r>
            <w:r w:rsidR="00034117" w:rsidRPr="00C10833">
              <w:rPr>
                <w:b/>
                <w:sz w:val="28"/>
                <w:szCs w:val="28"/>
              </w:rPr>
              <w:t>за публично ползване в инфраструктура за отдих, туристическа инфраструктура</w:t>
            </w:r>
            <w:r w:rsidR="00D03420" w:rsidRPr="00C10833">
              <w:rPr>
                <w:b/>
                <w:sz w:val="28"/>
                <w:szCs w:val="28"/>
              </w:rPr>
              <w:t>“</w:t>
            </w:r>
          </w:p>
          <w:p w:rsidR="00034117" w:rsidRPr="008F724D" w:rsidRDefault="00034117" w:rsidP="00034117"/>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FB2AF2">
          <w:rPr>
            <w:noProof/>
            <w:webHidden/>
          </w:rPr>
          <w:t>4</w:t>
        </w:r>
        <w:r w:rsidRPr="006C00D7">
          <w:rPr>
            <w:noProof/>
            <w:webHidden/>
          </w:rPr>
          <w:fldChar w:fldCharType="end"/>
        </w:r>
      </w:hyperlink>
    </w:p>
    <w:p w:rsidR="006C00D7" w:rsidRPr="006C00D7" w:rsidRDefault="006F5337">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FB2AF2">
          <w:rPr>
            <w:noProof/>
            <w:webHidden/>
          </w:rPr>
          <w:t>4</w:t>
        </w:r>
        <w:r w:rsidR="006C00D7" w:rsidRPr="006C00D7">
          <w:rPr>
            <w:noProof/>
            <w:webHidden/>
          </w:rPr>
          <w:fldChar w:fldCharType="end"/>
        </w:r>
      </w:hyperlink>
    </w:p>
    <w:p w:rsidR="006C00D7" w:rsidRPr="006C00D7" w:rsidRDefault="006F5337">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FB2AF2">
          <w:rPr>
            <w:noProof/>
            <w:webHidden/>
          </w:rPr>
          <w:t>4</w:t>
        </w:r>
        <w:r w:rsidR="006C00D7" w:rsidRPr="006C00D7">
          <w:rPr>
            <w:noProof/>
            <w:webHidden/>
          </w:rPr>
          <w:fldChar w:fldCharType="end"/>
        </w:r>
      </w:hyperlink>
    </w:p>
    <w:p w:rsidR="006C00D7" w:rsidRPr="006C00D7" w:rsidRDefault="006F5337">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FB2AF2">
          <w:rPr>
            <w:noProof/>
            <w:webHidden/>
          </w:rPr>
          <w:t>4</w:t>
        </w:r>
        <w:r w:rsidR="006C00D7" w:rsidRPr="006C00D7">
          <w:rPr>
            <w:noProof/>
            <w:webHidden/>
          </w:rPr>
          <w:fldChar w:fldCharType="end"/>
        </w:r>
      </w:hyperlink>
    </w:p>
    <w:p w:rsidR="006C00D7" w:rsidRPr="006C00D7" w:rsidRDefault="006F5337">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FB2AF2">
          <w:rPr>
            <w:noProof/>
            <w:webHidden/>
          </w:rPr>
          <w:t>4</w:t>
        </w:r>
        <w:r w:rsidR="006C00D7" w:rsidRP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FB2AF2">
          <w:rPr>
            <w:noProof/>
            <w:webHidden/>
          </w:rPr>
          <w:t>4</w:t>
        </w:r>
        <w:r w:rsidR="006C00D7" w:rsidRP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FB2AF2">
          <w:rPr>
            <w:noProof/>
            <w:webHidden/>
          </w:rPr>
          <w:t>5</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FB2AF2">
          <w:rPr>
            <w:noProof/>
            <w:webHidden/>
          </w:rPr>
          <w:t>6</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FB2AF2">
          <w:rPr>
            <w:noProof/>
            <w:webHidden/>
          </w:rPr>
          <w:t>6</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FB2AF2">
          <w:rPr>
            <w:noProof/>
            <w:webHidden/>
          </w:rPr>
          <w:t>7</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FB2AF2">
          <w:rPr>
            <w:noProof/>
            <w:webHidden/>
          </w:rPr>
          <w:t>7</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w:t>
        </w:r>
        <w:bookmarkStart w:id="0" w:name="_GoBack"/>
        <w:bookmarkEnd w:id="0"/>
        <w:r w:rsidR="006C00D7" w:rsidRPr="00B23CC9">
          <w:rPr>
            <w:rStyle w:val="a8"/>
            <w:noProof/>
          </w:rPr>
          <w:t>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FB2AF2">
          <w:rPr>
            <w:noProof/>
            <w:webHidden/>
          </w:rPr>
          <w:t>9</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FB2AF2">
          <w:rPr>
            <w:noProof/>
            <w:webHidden/>
          </w:rPr>
          <w:t>9</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FB2AF2">
          <w:rPr>
            <w:noProof/>
            <w:webHidden/>
          </w:rPr>
          <w:t>9</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FB2AF2">
          <w:rPr>
            <w:noProof/>
            <w:webHidden/>
          </w:rPr>
          <w:t>14</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FB2AF2">
          <w:rPr>
            <w:noProof/>
            <w:webHidden/>
          </w:rPr>
          <w:t>14</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FB2AF2">
          <w:rPr>
            <w:noProof/>
            <w:webHidden/>
          </w:rPr>
          <w:t>15</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FB2AF2">
          <w:rPr>
            <w:noProof/>
            <w:webHidden/>
          </w:rPr>
          <w:t>16</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FB2AF2">
          <w:rPr>
            <w:noProof/>
            <w:webHidden/>
          </w:rPr>
          <w:t>16</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FB2AF2">
          <w:rPr>
            <w:noProof/>
            <w:webHidden/>
          </w:rPr>
          <w:t>16</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FB2AF2">
          <w:rPr>
            <w:noProof/>
            <w:webHidden/>
          </w:rPr>
          <w:t>17</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FB2AF2">
          <w:rPr>
            <w:noProof/>
            <w:webHidden/>
          </w:rPr>
          <w:t>19</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FB2AF2">
          <w:rPr>
            <w:noProof/>
            <w:webHidden/>
          </w:rPr>
          <w:t>20</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FB2AF2">
          <w:rPr>
            <w:noProof/>
            <w:webHidden/>
          </w:rPr>
          <w:t>21</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FB2AF2">
          <w:rPr>
            <w:noProof/>
            <w:webHidden/>
          </w:rPr>
          <w:t>27</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FB2AF2">
          <w:rPr>
            <w:noProof/>
            <w:webHidden/>
          </w:rPr>
          <w:t>27</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FB2AF2">
          <w:rPr>
            <w:noProof/>
            <w:webHidden/>
          </w:rPr>
          <w:t>27</w:t>
        </w:r>
        <w:r w:rsidR="006C00D7">
          <w:rPr>
            <w:noProof/>
            <w:webHidden/>
          </w:rPr>
          <w:fldChar w:fldCharType="end"/>
        </w:r>
      </w:hyperlink>
    </w:p>
    <w:p w:rsidR="006C00D7" w:rsidRDefault="006F5337">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FB2AF2">
          <w:rPr>
            <w:noProof/>
            <w:webHidden/>
          </w:rPr>
          <w:t>27</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rPr>
      </w:pPr>
    </w:p>
    <w:p w:rsidR="00C10833" w:rsidRPr="00C10833" w:rsidRDefault="00C10833" w:rsidP="00F2672E">
      <w:pPr>
        <w:rPr>
          <w:sz w:val="28"/>
          <w:szCs w:val="28"/>
        </w:rPr>
      </w:pPr>
    </w:p>
    <w:p w:rsidR="00BA362F" w:rsidRPr="005B6DB9" w:rsidRDefault="00BA362F" w:rsidP="00F2672E">
      <w:pPr>
        <w:rPr>
          <w:sz w:val="28"/>
          <w:szCs w:val="28"/>
        </w:rPr>
      </w:pPr>
    </w:p>
    <w:p w:rsidR="006C00D7" w:rsidRDefault="006C00D7" w:rsidP="00F2672E">
      <w:pPr>
        <w:rPr>
          <w:sz w:val="28"/>
          <w:szCs w:val="28"/>
        </w:rPr>
      </w:pPr>
    </w:p>
    <w:p w:rsidR="00822BF6" w:rsidRPr="006C00D7" w:rsidRDefault="00822BF6" w:rsidP="00F2672E">
      <w:pPr>
        <w:rPr>
          <w:sz w:val="28"/>
          <w:szCs w:val="28"/>
        </w:rPr>
      </w:pPr>
    </w:p>
    <w:p w:rsidR="00C477B5" w:rsidRDefault="00C477B5" w:rsidP="00C477B5">
      <w:pPr>
        <w:spacing w:line="240" w:lineRule="auto"/>
        <w:rPr>
          <w:b/>
          <w:sz w:val="24"/>
          <w:szCs w:val="24"/>
        </w:rPr>
      </w:pPr>
      <w:r w:rsidRPr="00C477B5">
        <w:rPr>
          <w:b/>
          <w:sz w:val="24"/>
          <w:szCs w:val="24"/>
        </w:rPr>
        <w:t>СПИСЪК НА СЪКРАЩЕНИЯТА</w:t>
      </w:r>
    </w:p>
    <w:p w:rsidR="00822BF6" w:rsidRPr="00C477B5" w:rsidRDefault="00822BF6" w:rsidP="00C477B5">
      <w:pPr>
        <w:spacing w:line="240" w:lineRule="auto"/>
        <w:rPr>
          <w:b/>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CA7AC0" w:rsidRPr="0049492D" w:rsidTr="00CA7AC0">
        <w:tc>
          <w:tcPr>
            <w:tcW w:w="3189" w:type="dxa"/>
            <w:tcBorders>
              <w:top w:val="single" w:sz="4" w:space="0" w:color="auto"/>
              <w:left w:val="single" w:sz="4" w:space="0" w:color="auto"/>
              <w:bottom w:val="single" w:sz="4" w:space="0" w:color="auto"/>
              <w:right w:val="single" w:sz="4" w:space="0" w:color="auto"/>
            </w:tcBorders>
          </w:tcPr>
          <w:p w:rsidR="00CA7AC0" w:rsidRPr="0049492D" w:rsidRDefault="00CA7AC0" w:rsidP="002A737A">
            <w:pPr>
              <w:widowControl w:val="0"/>
              <w:autoSpaceDE w:val="0"/>
              <w:autoSpaceDN w:val="0"/>
              <w:adjustRightInd w:val="0"/>
              <w:spacing w:line="240" w:lineRule="auto"/>
              <w:rPr>
                <w:sz w:val="24"/>
              </w:rPr>
            </w:pPr>
            <w:r w:rsidRPr="0049492D">
              <w:rPr>
                <w:sz w:val="24"/>
              </w:rPr>
              <w:t>ДДС</w:t>
            </w:r>
          </w:p>
        </w:tc>
        <w:tc>
          <w:tcPr>
            <w:tcW w:w="6237" w:type="dxa"/>
            <w:tcBorders>
              <w:top w:val="single" w:sz="4" w:space="0" w:color="auto"/>
              <w:left w:val="single" w:sz="4" w:space="0" w:color="auto"/>
              <w:bottom w:val="single" w:sz="4" w:space="0" w:color="auto"/>
              <w:right w:val="single" w:sz="4" w:space="0" w:color="auto"/>
            </w:tcBorders>
          </w:tcPr>
          <w:p w:rsidR="00CA7AC0" w:rsidRPr="0049492D" w:rsidRDefault="00CA7AC0" w:rsidP="002A737A">
            <w:pPr>
              <w:widowControl w:val="0"/>
              <w:autoSpaceDE w:val="0"/>
              <w:autoSpaceDN w:val="0"/>
              <w:adjustRightInd w:val="0"/>
              <w:spacing w:line="240" w:lineRule="auto"/>
              <w:rPr>
                <w:sz w:val="24"/>
              </w:rPr>
            </w:pPr>
            <w:r w:rsidRPr="0049492D">
              <w:rPr>
                <w:sz w:val="24"/>
              </w:rPr>
              <w:t>Данък върху добавената стойност</w:t>
            </w:r>
          </w:p>
        </w:tc>
      </w:tr>
      <w:tr w:rsidR="0049492D" w:rsidRPr="0049492D" w:rsidTr="0049492D">
        <w:tc>
          <w:tcPr>
            <w:tcW w:w="3189" w:type="dxa"/>
          </w:tcPr>
          <w:p w:rsidR="0049492D" w:rsidRPr="0049492D" w:rsidRDefault="0049492D" w:rsidP="00CA7AC0">
            <w:pPr>
              <w:widowControl w:val="0"/>
              <w:autoSpaceDE w:val="0"/>
              <w:autoSpaceDN w:val="0"/>
              <w:adjustRightInd w:val="0"/>
              <w:spacing w:line="240" w:lineRule="auto"/>
              <w:rPr>
                <w:sz w:val="24"/>
              </w:rPr>
            </w:pPr>
            <w:r w:rsidRPr="0049492D">
              <w:rPr>
                <w:sz w:val="24"/>
              </w:rPr>
              <w:t>Д</w:t>
            </w:r>
            <w:r w:rsidR="00CA7AC0">
              <w:rPr>
                <w:sz w:val="24"/>
              </w:rPr>
              <w:t>ФЕС</w:t>
            </w:r>
          </w:p>
        </w:tc>
        <w:tc>
          <w:tcPr>
            <w:tcW w:w="6237" w:type="dxa"/>
          </w:tcPr>
          <w:p w:rsidR="0049492D" w:rsidRPr="0049492D" w:rsidRDefault="00CA7AC0" w:rsidP="0049492D">
            <w:pPr>
              <w:widowControl w:val="0"/>
              <w:autoSpaceDE w:val="0"/>
              <w:autoSpaceDN w:val="0"/>
              <w:adjustRightInd w:val="0"/>
              <w:spacing w:line="240" w:lineRule="auto"/>
              <w:rPr>
                <w:sz w:val="24"/>
              </w:rPr>
            </w:pPr>
            <w:r>
              <w:rPr>
                <w:sz w:val="24"/>
              </w:rPr>
              <w:t>Договор за функциониране на ЕС</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126635" w:rsidRPr="0049492D" w:rsidTr="00126635">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126635">
              <w:rPr>
                <w:noProof/>
                <w:sz w:val="24"/>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49492D">
              <w:rPr>
                <w:noProof/>
                <w:sz w:val="24"/>
              </w:rPr>
              <w:t>Европейски структурни и инвестиционни фондове</w:t>
            </w:r>
          </w:p>
        </w:tc>
      </w:tr>
      <w:tr w:rsidR="0049492D" w:rsidRPr="0049492D" w:rsidTr="0049492D">
        <w:trPr>
          <w:trHeight w:val="317"/>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ЗДДС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данък добавена стойност</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 xml:space="preserve">Закон за управление на средствата от </w:t>
            </w:r>
            <w:proofErr w:type="spellStart"/>
            <w:r w:rsidRPr="00126635">
              <w:rPr>
                <w:color w:val="000000"/>
                <w:sz w:val="24"/>
              </w:rPr>
              <w:t>Eвропейските</w:t>
            </w:r>
            <w:proofErr w:type="spellEnd"/>
            <w:r w:rsidRPr="00126635">
              <w:rPr>
                <w:color w:val="000000"/>
                <w:sz w:val="24"/>
              </w:rPr>
              <w:t xml:space="preserve"> структурни и инвестиционни фондове, </w:t>
            </w:r>
            <w:proofErr w:type="spellStart"/>
            <w:r w:rsidRPr="00126635">
              <w:rPr>
                <w:color w:val="000000"/>
                <w:sz w:val="24"/>
              </w:rPr>
              <w:t>обн</w:t>
            </w:r>
            <w:proofErr w:type="spellEnd"/>
            <w:r w:rsidRPr="00126635">
              <w:rPr>
                <w:color w:val="000000"/>
                <w:sz w:val="24"/>
              </w:rPr>
              <w:t>., ДВ, бр. 101 от 22.12.2015 г</w:t>
            </w:r>
            <w:r w:rsidR="00822BF6">
              <w:rPr>
                <w:color w:val="000000"/>
                <w:sz w:val="24"/>
              </w:rPr>
              <w:t>.</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Структурните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 xml:space="preserve">Наредба </w:t>
            </w:r>
            <w:r w:rsidR="00822BF6">
              <w:rPr>
                <w:color w:val="000000"/>
                <w:sz w:val="24"/>
              </w:rPr>
              <w:t xml:space="preserve">№ </w:t>
            </w:r>
            <w:r w:rsidRPr="00126635">
              <w:rPr>
                <w:color w:val="000000"/>
                <w:sz w:val="24"/>
              </w:rPr>
              <w:t>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Наредба №</w:t>
            </w:r>
            <w:r w:rsidR="00822BF6">
              <w:rPr>
                <w:sz w:val="24"/>
              </w:rPr>
              <w:t xml:space="preserve"> </w:t>
            </w:r>
            <w:r w:rsidRPr="0049492D">
              <w:rPr>
                <w:sz w:val="24"/>
              </w:rPr>
              <w:t xml:space="preserve">22 от 14.12.2015 г. за прилагане на </w:t>
            </w:r>
            <w:proofErr w:type="spellStart"/>
            <w:r w:rsidRPr="0049492D">
              <w:rPr>
                <w:sz w:val="24"/>
              </w:rPr>
              <w:t>подмярка</w:t>
            </w:r>
            <w:proofErr w:type="spellEnd"/>
            <w:r w:rsidRPr="0049492D">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Строително-монтажни работи</w:t>
            </w:r>
          </w:p>
        </w:tc>
      </w:tr>
      <w:tr w:rsidR="00A553AC" w:rsidRPr="0049492D" w:rsidTr="00A553A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A553AC" w:rsidRPr="0049492D" w:rsidRDefault="00A553AC" w:rsidP="00A553AC">
            <w:pPr>
              <w:widowControl w:val="0"/>
              <w:autoSpaceDE w:val="0"/>
              <w:autoSpaceDN w:val="0"/>
              <w:adjustRightInd w:val="0"/>
              <w:spacing w:line="240" w:lineRule="auto"/>
              <w:jc w:val="left"/>
              <w:rPr>
                <w:sz w:val="24"/>
              </w:rPr>
            </w:pPr>
            <w:r w:rsidRPr="0049492D">
              <w:rPr>
                <w:sz w:val="24"/>
              </w:rPr>
              <w:t>УО</w:t>
            </w:r>
            <w:r w:rsidRPr="00A553AC">
              <w:rPr>
                <w:sz w:val="24"/>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553AC" w:rsidRPr="0049492D" w:rsidRDefault="00A553AC" w:rsidP="00DE12A0">
            <w:pPr>
              <w:widowControl w:val="0"/>
              <w:autoSpaceDE w:val="0"/>
              <w:autoSpaceDN w:val="0"/>
              <w:adjustRightInd w:val="0"/>
              <w:spacing w:line="240" w:lineRule="auto"/>
              <w:jc w:val="left"/>
              <w:rPr>
                <w:sz w:val="24"/>
              </w:rPr>
            </w:pPr>
            <w:r w:rsidRPr="0049492D">
              <w:rPr>
                <w:sz w:val="24"/>
              </w:rPr>
              <w:t>Управляващ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875BEF" w:rsidRDefault="00875BEF" w:rsidP="003053FB">
      <w:pPr>
        <w:keepNext/>
        <w:keepLines/>
        <w:widowControl w:val="0"/>
        <w:autoSpaceDE w:val="0"/>
        <w:autoSpaceDN w:val="0"/>
        <w:adjustRightInd w:val="0"/>
        <w:spacing w:before="240" w:after="240" w:line="240" w:lineRule="auto"/>
        <w:jc w:val="left"/>
        <w:outlineLvl w:val="0"/>
        <w:rPr>
          <w:b/>
          <w:sz w:val="24"/>
          <w:szCs w:val="24"/>
        </w:rPr>
      </w:pPr>
      <w:bookmarkStart w:id="1" w:name="_Toc508719497"/>
    </w:p>
    <w:p w:rsidR="00B96E76" w:rsidRDefault="00B96E76" w:rsidP="003053FB">
      <w:pPr>
        <w:keepNext/>
        <w:keepLines/>
        <w:widowControl w:val="0"/>
        <w:autoSpaceDE w:val="0"/>
        <w:autoSpaceDN w:val="0"/>
        <w:adjustRightInd w:val="0"/>
        <w:spacing w:before="240" w:after="240" w:line="240" w:lineRule="auto"/>
        <w:jc w:val="left"/>
        <w:outlineLvl w:val="0"/>
        <w:rPr>
          <w:b/>
          <w:sz w:val="24"/>
          <w:szCs w:val="24"/>
        </w:rPr>
      </w:pPr>
      <w:r>
        <w:rPr>
          <w:b/>
          <w:sz w:val="24"/>
          <w:szCs w:val="24"/>
        </w:rPr>
        <w:t>1.Наименование на програмата</w:t>
      </w:r>
      <w:r w:rsidR="00F2672E" w:rsidRPr="008D664D">
        <w:rPr>
          <w:b/>
          <w:sz w:val="24"/>
          <w:szCs w:val="24"/>
        </w:rPr>
        <w:t>:</w:t>
      </w:r>
      <w:bookmarkEnd w:id="1"/>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2" w:name="_Toc508719498"/>
      <w:r w:rsidRPr="008D664D">
        <w:rPr>
          <w:sz w:val="24"/>
          <w:szCs w:val="24"/>
        </w:rPr>
        <w:t>ПРОГРАМА ЗА РАЗВИТИЕ НА СЕЛСКИТЕ РАЙОНИ 2014 -2020 г.</w:t>
      </w:r>
      <w:bookmarkEnd w:id="2"/>
      <w:r w:rsidR="006429ED" w:rsidRPr="008D664D">
        <w:t xml:space="preserve"> </w:t>
      </w:r>
    </w:p>
    <w:p w:rsidR="00B96E76" w:rsidRPr="00B96E76" w:rsidRDefault="00B96E76" w:rsidP="003053FB">
      <w:pPr>
        <w:keepNext/>
        <w:keepLines/>
        <w:widowControl w:val="0"/>
        <w:autoSpaceDE w:val="0"/>
        <w:autoSpaceDN w:val="0"/>
        <w:adjustRightInd w:val="0"/>
        <w:spacing w:before="240" w:after="240" w:line="240" w:lineRule="auto"/>
        <w:jc w:val="left"/>
        <w:outlineLvl w:val="0"/>
        <w:rPr>
          <w:b/>
          <w:sz w:val="24"/>
          <w:szCs w:val="24"/>
        </w:rPr>
      </w:pPr>
      <w:bookmarkStart w:id="3"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w:t>
      </w:r>
      <w:bookmarkEnd w:id="3"/>
      <w:r w:rsidR="00F2672E" w:rsidRPr="00F2672E">
        <w:rPr>
          <w:rFonts w:ascii="Calibri Light" w:hAnsi="Calibri Light"/>
          <w:b/>
          <w:color w:val="2E74B5"/>
          <w:sz w:val="32"/>
          <w:szCs w:val="32"/>
        </w:rPr>
        <w:t xml:space="preserve"> </w:t>
      </w:r>
    </w:p>
    <w:p w:rsidR="00F2672E" w:rsidRPr="00F2672E" w:rsidRDefault="00381817" w:rsidP="001A06E9">
      <w:pPr>
        <w:keepNext/>
        <w:keepLines/>
        <w:widowControl w:val="0"/>
        <w:pBdr>
          <w:top w:val="single" w:sz="4" w:space="1" w:color="auto"/>
          <w:left w:val="single" w:sz="4" w:space="4" w:color="auto"/>
          <w:bottom w:val="single" w:sz="4" w:space="0" w:color="auto"/>
          <w:right w:val="single" w:sz="4" w:space="4" w:color="auto"/>
        </w:pBdr>
        <w:autoSpaceDE w:val="0"/>
        <w:autoSpaceDN w:val="0"/>
        <w:adjustRightInd w:val="0"/>
        <w:spacing w:line="240" w:lineRule="auto"/>
        <w:outlineLvl w:val="0"/>
        <w:rPr>
          <w:b/>
          <w:sz w:val="24"/>
          <w:szCs w:val="24"/>
        </w:rPr>
      </w:pPr>
      <w:r>
        <w:rPr>
          <w:sz w:val="24"/>
          <w:szCs w:val="24"/>
        </w:rPr>
        <w:t>Неприложимо.</w:t>
      </w:r>
    </w:p>
    <w:p w:rsidR="00B96E76" w:rsidRPr="00B96E76" w:rsidRDefault="00B96E76" w:rsidP="003053FB">
      <w:pPr>
        <w:keepNext/>
        <w:keepLines/>
        <w:widowControl w:val="0"/>
        <w:autoSpaceDE w:val="0"/>
        <w:autoSpaceDN w:val="0"/>
        <w:adjustRightInd w:val="0"/>
        <w:spacing w:before="240" w:after="240" w:line="240" w:lineRule="auto"/>
        <w:outlineLvl w:val="0"/>
        <w:rPr>
          <w:sz w:val="24"/>
          <w:szCs w:val="24"/>
        </w:rPr>
      </w:pPr>
      <w:bookmarkStart w:id="4" w:name="_Toc508719501"/>
      <w:r>
        <w:rPr>
          <w:b/>
          <w:sz w:val="24"/>
          <w:szCs w:val="24"/>
        </w:rPr>
        <w:t>3.Наименование на процедурата</w:t>
      </w:r>
      <w:r w:rsidR="00F2672E" w:rsidRPr="00F2672E">
        <w:rPr>
          <w:b/>
          <w:sz w:val="24"/>
          <w:szCs w:val="24"/>
        </w:rPr>
        <w:t>:</w:t>
      </w:r>
      <w:bookmarkEnd w:id="4"/>
      <w:r w:rsidR="00F2672E" w:rsidRPr="00F2672E">
        <w:rPr>
          <w:rFonts w:ascii="Calibri Light" w:hAnsi="Calibri Light"/>
          <w:b/>
          <w:color w:val="2E74B5"/>
          <w:sz w:val="32"/>
          <w:szCs w:val="32"/>
        </w:rPr>
        <w:t xml:space="preserve"> </w:t>
      </w:r>
    </w:p>
    <w:p w:rsidR="00F2672E" w:rsidRPr="00561D83" w:rsidRDefault="000E48F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r w:rsidRPr="000E48FE">
        <w:rPr>
          <w:sz w:val="24"/>
          <w:szCs w:val="24"/>
        </w:rPr>
        <w:t>BG 06RDNP001</w:t>
      </w:r>
      <w:r w:rsidRPr="00743BB7">
        <w:rPr>
          <w:sz w:val="24"/>
          <w:szCs w:val="24"/>
        </w:rPr>
        <w:t>-19.</w:t>
      </w:r>
      <w:r w:rsidR="00D66C01">
        <w:rPr>
          <w:sz w:val="24"/>
          <w:szCs w:val="24"/>
        </w:rPr>
        <w:t>609</w:t>
      </w:r>
      <w:r w:rsidR="00634AB9">
        <w:rPr>
          <w:sz w:val="24"/>
          <w:szCs w:val="24"/>
        </w:rPr>
        <w:t xml:space="preserve"> </w:t>
      </w:r>
      <w:r w:rsidRPr="000E48FE">
        <w:rPr>
          <w:sz w:val="24"/>
          <w:szCs w:val="24"/>
        </w:rPr>
        <w:t>МИГ –</w:t>
      </w:r>
      <w:r w:rsidR="00425CC6" w:rsidRPr="00822BF6">
        <w:rPr>
          <w:sz w:val="24"/>
          <w:szCs w:val="24"/>
        </w:rPr>
        <w:t>община</w:t>
      </w:r>
      <w:r w:rsidR="00425CC6" w:rsidRPr="000E48FE">
        <w:rPr>
          <w:sz w:val="24"/>
          <w:szCs w:val="24"/>
        </w:rPr>
        <w:t xml:space="preserve"> </w:t>
      </w:r>
      <w:r w:rsidRPr="000E48FE">
        <w:rPr>
          <w:sz w:val="24"/>
          <w:szCs w:val="24"/>
        </w:rPr>
        <w:t>Марица - Мярка М7.5. Инвестиции за публично ползване в инфраструктура за отдих, туристическа инфраструктура</w:t>
      </w:r>
    </w:p>
    <w:p w:rsidR="0040181C" w:rsidRDefault="0040181C" w:rsidP="003053FB">
      <w:pPr>
        <w:keepNext/>
        <w:keepLines/>
        <w:widowControl w:val="0"/>
        <w:autoSpaceDE w:val="0"/>
        <w:autoSpaceDN w:val="0"/>
        <w:adjustRightInd w:val="0"/>
        <w:spacing w:before="240" w:after="240" w:line="240" w:lineRule="auto"/>
        <w:outlineLvl w:val="0"/>
        <w:rPr>
          <w:b/>
          <w:sz w:val="24"/>
          <w:szCs w:val="24"/>
        </w:rPr>
      </w:pPr>
      <w:bookmarkStart w:id="5" w:name="_Toc508719503"/>
      <w:r>
        <w:rPr>
          <w:b/>
          <w:sz w:val="24"/>
          <w:szCs w:val="24"/>
        </w:rPr>
        <w:t>4.</w:t>
      </w:r>
      <w:r w:rsidR="00F2672E" w:rsidRPr="00F2672E">
        <w:rPr>
          <w:b/>
          <w:sz w:val="24"/>
          <w:szCs w:val="24"/>
        </w:rPr>
        <w:t>Измерения по кодове:</w:t>
      </w:r>
      <w:bookmarkEnd w:id="5"/>
      <w:r w:rsidR="00F2672E" w:rsidRPr="00F2672E">
        <w:rPr>
          <w:b/>
          <w:sz w:val="24"/>
          <w:szCs w:val="24"/>
        </w:rPr>
        <w:t xml:space="preserve"> </w:t>
      </w:r>
    </w:p>
    <w:p w:rsidR="00F2672E" w:rsidRPr="00FA300B" w:rsidRDefault="00381817"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r>
        <w:rPr>
          <w:bCs/>
          <w:sz w:val="24"/>
          <w:szCs w:val="24"/>
        </w:rPr>
        <w:t>Неприложимо</w:t>
      </w:r>
    </w:p>
    <w:p w:rsidR="00614315" w:rsidRDefault="00614315" w:rsidP="003053FB">
      <w:pPr>
        <w:keepNext/>
        <w:keepLines/>
        <w:widowControl w:val="0"/>
        <w:autoSpaceDE w:val="0"/>
        <w:autoSpaceDN w:val="0"/>
        <w:adjustRightInd w:val="0"/>
        <w:spacing w:before="240" w:after="240" w:line="240" w:lineRule="auto"/>
        <w:outlineLvl w:val="0"/>
        <w:rPr>
          <w:b/>
          <w:sz w:val="24"/>
          <w:szCs w:val="24"/>
        </w:rPr>
      </w:pPr>
      <w:bookmarkStart w:id="6" w:name="_Toc508719505"/>
      <w:bookmarkStart w:id="7" w:name="_Toc508719506"/>
      <w:r>
        <w:rPr>
          <w:b/>
          <w:sz w:val="24"/>
          <w:szCs w:val="24"/>
        </w:rPr>
        <w:t>5.Териториален обхват</w:t>
      </w:r>
      <w:r w:rsidRPr="00F2672E">
        <w:rPr>
          <w:b/>
          <w:sz w:val="24"/>
          <w:szCs w:val="24"/>
        </w:rPr>
        <w:t>:</w:t>
      </w:r>
      <w:bookmarkEnd w:id="6"/>
      <w:r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7"/>
    </w:p>
    <w:p w:rsidR="00F2672E" w:rsidRPr="00F2672E" w:rsidRDefault="0040181C" w:rsidP="003053FB">
      <w:pPr>
        <w:keepNext/>
        <w:keepLines/>
        <w:widowControl w:val="0"/>
        <w:autoSpaceDE w:val="0"/>
        <w:autoSpaceDN w:val="0"/>
        <w:adjustRightInd w:val="0"/>
        <w:spacing w:before="240" w:after="240" w:line="240" w:lineRule="auto"/>
        <w:outlineLvl w:val="0"/>
        <w:rPr>
          <w:b/>
          <w:sz w:val="24"/>
          <w:szCs w:val="24"/>
        </w:rPr>
      </w:pPr>
      <w:bookmarkStart w:id="8"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w:t>
      </w:r>
      <w:bookmarkEnd w:id="8"/>
    </w:p>
    <w:tbl>
      <w:tblPr>
        <w:tblStyle w:val="a3"/>
        <w:tblW w:w="0" w:type="auto"/>
        <w:tblLook w:val="04A0" w:firstRow="1" w:lastRow="0" w:firstColumn="1" w:lastColumn="0" w:noHBand="0" w:noVBand="1"/>
      </w:tblPr>
      <w:tblGrid>
        <w:gridCol w:w="9288"/>
      </w:tblGrid>
      <w:tr w:rsidR="00F2672E" w:rsidTr="004B2931">
        <w:trPr>
          <w:trHeight w:val="2795"/>
        </w:trPr>
        <w:tc>
          <w:tcPr>
            <w:tcW w:w="9288" w:type="dxa"/>
            <w:tcBorders>
              <w:top w:val="single" w:sz="4" w:space="0" w:color="auto"/>
              <w:left w:val="single" w:sz="4" w:space="0" w:color="auto"/>
              <w:bottom w:val="single" w:sz="4" w:space="0" w:color="auto"/>
              <w:right w:val="single" w:sz="4" w:space="0" w:color="auto"/>
            </w:tcBorders>
          </w:tcPr>
          <w:p w:rsidR="0066004B" w:rsidRPr="0066004B" w:rsidRDefault="0066004B" w:rsidP="003C5FA9">
            <w:pPr>
              <w:rPr>
                <w:b/>
                <w:noProof/>
                <w:sz w:val="24"/>
                <w:szCs w:val="24"/>
              </w:rPr>
            </w:pPr>
            <w:r w:rsidRPr="0066004B">
              <w:rPr>
                <w:b/>
                <w:noProof/>
                <w:sz w:val="24"/>
                <w:szCs w:val="24"/>
              </w:rPr>
              <w:t xml:space="preserve">Цел на процедурата: </w:t>
            </w:r>
          </w:p>
          <w:p w:rsidR="0066004B" w:rsidRDefault="0066004B" w:rsidP="002C2440">
            <w:pPr>
              <w:rPr>
                <w:noProof/>
                <w:sz w:val="24"/>
                <w:szCs w:val="24"/>
              </w:rPr>
            </w:pPr>
            <w:r>
              <w:rPr>
                <w:noProof/>
                <w:sz w:val="24"/>
                <w:szCs w:val="24"/>
              </w:rPr>
              <w:t>Р</w:t>
            </w:r>
            <w:r w:rsidRPr="0066004B">
              <w:rPr>
                <w:noProof/>
                <w:sz w:val="24"/>
                <w:szCs w:val="24"/>
              </w:rPr>
              <w:t xml:space="preserve">азвитие на инфраструктурата за отдих и туристическата инфраструктура за публично ползване на територията на действие на МИГ </w:t>
            </w:r>
            <w:r w:rsidRPr="00822BF6">
              <w:rPr>
                <w:noProof/>
                <w:sz w:val="24"/>
                <w:szCs w:val="24"/>
              </w:rPr>
              <w:t xml:space="preserve">– </w:t>
            </w:r>
            <w:r w:rsidR="00425CC6" w:rsidRPr="00822BF6">
              <w:rPr>
                <w:noProof/>
                <w:sz w:val="24"/>
                <w:szCs w:val="24"/>
              </w:rPr>
              <w:t>община</w:t>
            </w:r>
            <w:r w:rsidR="00425CC6" w:rsidRPr="0066004B">
              <w:rPr>
                <w:noProof/>
                <w:sz w:val="24"/>
                <w:szCs w:val="24"/>
              </w:rPr>
              <w:t xml:space="preserve"> </w:t>
            </w:r>
            <w:r w:rsidRPr="0066004B">
              <w:rPr>
                <w:noProof/>
                <w:sz w:val="24"/>
                <w:szCs w:val="24"/>
              </w:rPr>
              <w:t xml:space="preserve">Марица. </w:t>
            </w:r>
          </w:p>
          <w:p w:rsidR="0066004B" w:rsidRDefault="0066004B" w:rsidP="002C2440">
            <w:pPr>
              <w:rPr>
                <w:noProof/>
                <w:sz w:val="24"/>
                <w:szCs w:val="24"/>
              </w:rPr>
            </w:pPr>
          </w:p>
          <w:p w:rsidR="008140BD" w:rsidRPr="00874865" w:rsidRDefault="002C2440" w:rsidP="00425CC6">
            <w:pPr>
              <w:rPr>
                <w:noProof/>
                <w:sz w:val="24"/>
                <w:szCs w:val="24"/>
              </w:rPr>
            </w:pPr>
            <w:r w:rsidRPr="0066004B">
              <w:rPr>
                <w:b/>
                <w:noProof/>
                <w:sz w:val="24"/>
                <w:szCs w:val="24"/>
              </w:rPr>
              <w:t>Очаквани резултати</w:t>
            </w:r>
            <w:r w:rsidR="0066004B">
              <w:rPr>
                <w:noProof/>
                <w:sz w:val="24"/>
                <w:szCs w:val="24"/>
              </w:rPr>
              <w:t xml:space="preserve"> от подпомагането</w:t>
            </w:r>
            <w:r w:rsidR="00BE0235">
              <w:rPr>
                <w:noProof/>
                <w:sz w:val="24"/>
                <w:szCs w:val="24"/>
              </w:rPr>
              <w:t xml:space="preserve"> по настоящата процедура се изразяват в създаването и обновяването на малка по мащаби публична инфраструктура за отдих и туристическа инфраструктура, което от своя страна ще доведе до създаването на оптимална жизнена и икономическа среда на територията на МИГ, опазването на околната среда, създаването на достъпност до природното и културно историческото наследство и до </w:t>
            </w:r>
            <w:r w:rsidR="00874865">
              <w:rPr>
                <w:noProof/>
                <w:sz w:val="24"/>
                <w:szCs w:val="24"/>
              </w:rPr>
              <w:t xml:space="preserve">повишаване привлекателността на територията на МИГ – </w:t>
            </w:r>
            <w:r w:rsidR="00425CC6" w:rsidRPr="00822BF6">
              <w:rPr>
                <w:noProof/>
                <w:sz w:val="24"/>
                <w:szCs w:val="24"/>
              </w:rPr>
              <w:t xml:space="preserve">община </w:t>
            </w:r>
            <w:r w:rsidR="00874865" w:rsidRPr="00DB1455">
              <w:rPr>
                <w:noProof/>
                <w:sz w:val="24"/>
                <w:szCs w:val="24"/>
              </w:rPr>
              <w:t>Марица.</w:t>
            </w:r>
          </w:p>
        </w:tc>
      </w:tr>
    </w:tbl>
    <w:p w:rsidR="00F34779" w:rsidRPr="0040181C" w:rsidRDefault="0040181C" w:rsidP="0035465F">
      <w:pPr>
        <w:pStyle w:val="1"/>
        <w:numPr>
          <w:ilvl w:val="0"/>
          <w:numId w:val="0"/>
        </w:numPr>
        <w:tabs>
          <w:tab w:val="left" w:pos="7080"/>
        </w:tabs>
      </w:pPr>
      <w:bookmarkStart w:id="9" w:name="_Toc479577156"/>
      <w:bookmarkStart w:id="10"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9"/>
      <w:bookmarkEnd w:id="10"/>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387"/>
        <w:gridCol w:w="1134"/>
        <w:gridCol w:w="1559"/>
      </w:tblGrid>
      <w:tr w:rsidR="008140BD" w:rsidRPr="004D4E34" w:rsidTr="00792F97">
        <w:tc>
          <w:tcPr>
            <w:tcW w:w="9322" w:type="dxa"/>
            <w:gridSpan w:val="4"/>
          </w:tcPr>
          <w:p w:rsidR="00792F97" w:rsidRPr="00792F97" w:rsidRDefault="00792F97" w:rsidP="00792F97">
            <w:pPr>
              <w:autoSpaceDE w:val="0"/>
              <w:autoSpaceDN w:val="0"/>
              <w:adjustRightInd w:val="0"/>
              <w:jc w:val="center"/>
              <w:rPr>
                <w:rFonts w:eastAsia="Calibri"/>
                <w:b/>
                <w:sz w:val="24"/>
                <w:szCs w:val="24"/>
                <w:lang w:val="ru-RU"/>
              </w:rPr>
            </w:pPr>
            <w:r w:rsidRPr="00792F97">
              <w:rPr>
                <w:rFonts w:eastAsia="Calibri"/>
                <w:b/>
                <w:sz w:val="24"/>
                <w:szCs w:val="24"/>
                <w:lang w:val="ru-RU"/>
              </w:rPr>
              <w:t>М</w:t>
            </w:r>
            <w:proofErr w:type="gramStart"/>
            <w:r w:rsidRPr="00792F97">
              <w:rPr>
                <w:rFonts w:eastAsia="Calibri"/>
                <w:b/>
                <w:sz w:val="24"/>
                <w:szCs w:val="24"/>
                <w:lang w:val="ru-RU"/>
              </w:rPr>
              <w:t>7</w:t>
            </w:r>
            <w:proofErr w:type="gramEnd"/>
            <w:r w:rsidRPr="00792F97">
              <w:rPr>
                <w:rFonts w:eastAsia="Calibri"/>
                <w:b/>
                <w:sz w:val="24"/>
                <w:szCs w:val="24"/>
                <w:lang w:val="ru-RU"/>
              </w:rPr>
              <w:t xml:space="preserve">.5. Инвестиции </w:t>
            </w:r>
            <w:proofErr w:type="gramStart"/>
            <w:r w:rsidRPr="00792F97">
              <w:rPr>
                <w:rFonts w:eastAsia="Calibri"/>
                <w:b/>
                <w:sz w:val="24"/>
                <w:szCs w:val="24"/>
                <w:lang w:val="ru-RU"/>
              </w:rPr>
              <w:t>за</w:t>
            </w:r>
            <w:proofErr w:type="gramEnd"/>
            <w:r w:rsidRPr="00792F97">
              <w:rPr>
                <w:rFonts w:eastAsia="Calibri"/>
                <w:b/>
                <w:sz w:val="24"/>
                <w:szCs w:val="24"/>
                <w:lang w:val="ru-RU"/>
              </w:rPr>
              <w:t xml:space="preserve"> публично </w:t>
            </w:r>
            <w:proofErr w:type="spellStart"/>
            <w:r w:rsidRPr="00792F97">
              <w:rPr>
                <w:rFonts w:eastAsia="Calibri"/>
                <w:b/>
                <w:sz w:val="24"/>
                <w:szCs w:val="24"/>
                <w:lang w:val="ru-RU"/>
              </w:rPr>
              <w:t>ползване</w:t>
            </w:r>
            <w:proofErr w:type="spellEnd"/>
            <w:r w:rsidRPr="00792F97">
              <w:rPr>
                <w:rFonts w:eastAsia="Calibri"/>
                <w:b/>
                <w:sz w:val="24"/>
                <w:szCs w:val="24"/>
                <w:lang w:val="ru-RU"/>
              </w:rPr>
              <w:t xml:space="preserve"> в инфраструктура за </w:t>
            </w:r>
            <w:proofErr w:type="spellStart"/>
            <w:r w:rsidRPr="00792F97">
              <w:rPr>
                <w:rFonts w:eastAsia="Calibri"/>
                <w:b/>
                <w:sz w:val="24"/>
                <w:szCs w:val="24"/>
                <w:lang w:val="ru-RU"/>
              </w:rPr>
              <w:t>отдих</w:t>
            </w:r>
            <w:proofErr w:type="spellEnd"/>
            <w:r w:rsidRPr="00792F97">
              <w:rPr>
                <w:rFonts w:eastAsia="Calibri"/>
                <w:b/>
                <w:sz w:val="24"/>
                <w:szCs w:val="24"/>
                <w:lang w:val="ru-RU"/>
              </w:rPr>
              <w:t xml:space="preserve">, </w:t>
            </w:r>
          </w:p>
          <w:p w:rsidR="008140BD" w:rsidRPr="004D4E34" w:rsidRDefault="00792F97" w:rsidP="00792F97">
            <w:pPr>
              <w:autoSpaceDE w:val="0"/>
              <w:autoSpaceDN w:val="0"/>
              <w:adjustRightInd w:val="0"/>
              <w:jc w:val="center"/>
              <w:rPr>
                <w:rFonts w:eastAsia="Calibri"/>
                <w:b/>
                <w:sz w:val="22"/>
                <w:szCs w:val="22"/>
                <w:lang w:val="ru-RU"/>
              </w:rPr>
            </w:pPr>
            <w:proofErr w:type="spellStart"/>
            <w:r w:rsidRPr="00792F97">
              <w:rPr>
                <w:rFonts w:eastAsia="Calibri"/>
                <w:b/>
                <w:sz w:val="24"/>
                <w:szCs w:val="24"/>
                <w:lang w:val="ru-RU"/>
              </w:rPr>
              <w:t>туристическа</w:t>
            </w:r>
            <w:proofErr w:type="spellEnd"/>
            <w:r w:rsidRPr="00792F97">
              <w:rPr>
                <w:rFonts w:eastAsia="Calibri"/>
                <w:b/>
                <w:sz w:val="24"/>
                <w:szCs w:val="24"/>
                <w:lang w:val="ru-RU"/>
              </w:rPr>
              <w:t xml:space="preserve"> инфраструктура</w:t>
            </w:r>
          </w:p>
        </w:tc>
      </w:tr>
      <w:tr w:rsidR="008140BD" w:rsidRPr="004D4E34" w:rsidTr="003053F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387"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134"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559" w:type="dxa"/>
          </w:tcPr>
          <w:p w:rsidR="008140BD" w:rsidRPr="004D4E34" w:rsidRDefault="008140BD" w:rsidP="00C477B5">
            <w:pPr>
              <w:autoSpaceDE w:val="0"/>
              <w:autoSpaceDN w:val="0"/>
              <w:adjustRightInd w:val="0"/>
              <w:jc w:val="center"/>
              <w:rPr>
                <w:rFonts w:eastAsia="Calibri"/>
                <w:b/>
                <w:sz w:val="22"/>
                <w:szCs w:val="22"/>
                <w:lang w:val="ru-RU"/>
              </w:rPr>
            </w:pPr>
            <w:proofErr w:type="gramStart"/>
            <w:r w:rsidRPr="004D4E34">
              <w:rPr>
                <w:rFonts w:eastAsia="Calibri"/>
                <w:b/>
                <w:sz w:val="22"/>
                <w:szCs w:val="22"/>
                <w:lang w:val="ru-RU"/>
              </w:rPr>
              <w:t>Цел</w:t>
            </w:r>
            <w:proofErr w:type="gramEnd"/>
            <w:r w:rsidRPr="004D4E34">
              <w:rPr>
                <w:rFonts w:eastAsia="Calibri"/>
                <w:b/>
                <w:sz w:val="22"/>
                <w:szCs w:val="22"/>
                <w:lang w:val="ru-RU"/>
              </w:rPr>
              <w:t xml:space="preserve"> до края на </w:t>
            </w:r>
            <w:proofErr w:type="spellStart"/>
            <w:r w:rsidRPr="004D4E34">
              <w:rPr>
                <w:rFonts w:eastAsia="Calibri"/>
                <w:b/>
                <w:sz w:val="22"/>
                <w:szCs w:val="22"/>
                <w:lang w:val="ru-RU"/>
              </w:rPr>
              <w:t>стратегията</w:t>
            </w:r>
            <w:proofErr w:type="spellEnd"/>
          </w:p>
        </w:tc>
      </w:tr>
      <w:tr w:rsidR="00A737D8" w:rsidRPr="004D4E34" w:rsidTr="003053FB">
        <w:trPr>
          <w:trHeight w:val="343"/>
        </w:trPr>
        <w:tc>
          <w:tcPr>
            <w:tcW w:w="1242" w:type="dxa"/>
            <w:vMerge w:val="restart"/>
          </w:tcPr>
          <w:p w:rsidR="00A737D8" w:rsidRPr="004D4E34" w:rsidRDefault="00A737D8"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387" w:type="dxa"/>
          </w:tcPr>
          <w:p w:rsidR="00A737D8" w:rsidRPr="004D4E34" w:rsidRDefault="00A737D8"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финансирани</w:t>
            </w:r>
            <w:proofErr w:type="spellEnd"/>
            <w:r w:rsidRPr="004D4E34">
              <w:rPr>
                <w:rFonts w:eastAsia="Calibri"/>
                <w:sz w:val="22"/>
                <w:szCs w:val="22"/>
                <w:lang w:val="ru-RU"/>
              </w:rPr>
              <w:t xml:space="preserve"> по </w:t>
            </w:r>
            <w:proofErr w:type="spellStart"/>
            <w:r w:rsidRPr="004D4E34">
              <w:rPr>
                <w:rFonts w:eastAsia="Calibri"/>
                <w:sz w:val="22"/>
                <w:szCs w:val="22"/>
                <w:lang w:val="ru-RU"/>
              </w:rPr>
              <w:t>мярката</w:t>
            </w:r>
            <w:proofErr w:type="spellEnd"/>
          </w:p>
        </w:tc>
        <w:tc>
          <w:tcPr>
            <w:tcW w:w="1134" w:type="dxa"/>
          </w:tcPr>
          <w:p w:rsidR="00A737D8" w:rsidRPr="004D4E34" w:rsidRDefault="00A737D8" w:rsidP="00C477B5">
            <w:pPr>
              <w:autoSpaceDE w:val="0"/>
              <w:autoSpaceDN w:val="0"/>
              <w:adjustRightInd w:val="0"/>
              <w:rPr>
                <w:rFonts w:eastAsia="Calibri"/>
                <w:sz w:val="22"/>
                <w:szCs w:val="22"/>
              </w:rPr>
            </w:pPr>
            <w:r w:rsidRPr="004D4E34">
              <w:rPr>
                <w:rFonts w:eastAsia="Calibri"/>
                <w:sz w:val="22"/>
                <w:szCs w:val="22"/>
              </w:rPr>
              <w:t>Брой</w:t>
            </w:r>
          </w:p>
        </w:tc>
        <w:tc>
          <w:tcPr>
            <w:tcW w:w="1559" w:type="dxa"/>
          </w:tcPr>
          <w:p w:rsidR="00A737D8" w:rsidRPr="004D4E34" w:rsidRDefault="00A737D8" w:rsidP="00DB1455">
            <w:pPr>
              <w:autoSpaceDE w:val="0"/>
              <w:autoSpaceDN w:val="0"/>
              <w:adjustRightInd w:val="0"/>
              <w:jc w:val="center"/>
              <w:rPr>
                <w:rFonts w:eastAsia="Calibri"/>
                <w:sz w:val="22"/>
                <w:szCs w:val="22"/>
              </w:rPr>
            </w:pPr>
            <w:r>
              <w:rPr>
                <w:rFonts w:eastAsia="Calibri"/>
                <w:sz w:val="22"/>
                <w:szCs w:val="22"/>
              </w:rPr>
              <w:t>4</w:t>
            </w:r>
          </w:p>
        </w:tc>
      </w:tr>
      <w:tr w:rsidR="00A737D8" w:rsidRPr="004D4E34" w:rsidTr="003053FB">
        <w:tc>
          <w:tcPr>
            <w:tcW w:w="1242" w:type="dxa"/>
            <w:vMerge/>
          </w:tcPr>
          <w:p w:rsidR="00A737D8" w:rsidRPr="004D4E34" w:rsidRDefault="00A737D8" w:rsidP="00C477B5">
            <w:pPr>
              <w:autoSpaceDE w:val="0"/>
              <w:autoSpaceDN w:val="0"/>
              <w:adjustRightInd w:val="0"/>
              <w:ind w:left="-108" w:right="-108"/>
              <w:jc w:val="center"/>
              <w:rPr>
                <w:rFonts w:eastAsia="Calibri"/>
                <w:sz w:val="22"/>
                <w:szCs w:val="22"/>
              </w:rPr>
            </w:pPr>
          </w:p>
        </w:tc>
        <w:tc>
          <w:tcPr>
            <w:tcW w:w="5387" w:type="dxa"/>
          </w:tcPr>
          <w:p w:rsidR="00A737D8" w:rsidRPr="004D4E34" w:rsidRDefault="00A737D8" w:rsidP="00792F97">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бенефициенти</w:t>
            </w:r>
            <w:proofErr w:type="spellEnd"/>
            <w:r>
              <w:rPr>
                <w:rFonts w:eastAsia="Calibri"/>
                <w:sz w:val="22"/>
                <w:szCs w:val="22"/>
                <w:lang w:val="ru-RU"/>
              </w:rPr>
              <w:t>,</w:t>
            </w:r>
            <w:r w:rsidRPr="004D4E34">
              <w:rPr>
                <w:rFonts w:eastAsia="Calibri"/>
                <w:sz w:val="22"/>
                <w:szCs w:val="22"/>
                <w:lang w:val="ru-RU"/>
              </w:rPr>
              <w:t xml:space="preserve"> </w:t>
            </w:r>
            <w:proofErr w:type="spellStart"/>
            <w:r w:rsidRPr="004D4E34">
              <w:rPr>
                <w:rFonts w:eastAsia="Calibri"/>
                <w:sz w:val="22"/>
                <w:szCs w:val="22"/>
                <w:lang w:val="ru-RU"/>
              </w:rPr>
              <w:t>подпомогнати</w:t>
            </w:r>
            <w:proofErr w:type="spellEnd"/>
            <w:r w:rsidRPr="004D4E34">
              <w:rPr>
                <w:rFonts w:eastAsia="Calibri"/>
                <w:sz w:val="22"/>
                <w:szCs w:val="22"/>
                <w:lang w:val="ru-RU"/>
              </w:rPr>
              <w:t xml:space="preserve"> </w:t>
            </w:r>
            <w:r>
              <w:rPr>
                <w:rFonts w:eastAsia="Calibri"/>
                <w:sz w:val="22"/>
                <w:szCs w:val="22"/>
                <w:lang w:val="ru-RU"/>
              </w:rPr>
              <w:t xml:space="preserve">по </w:t>
            </w:r>
            <w:proofErr w:type="spellStart"/>
            <w:r>
              <w:rPr>
                <w:rFonts w:eastAsia="Calibri"/>
                <w:sz w:val="22"/>
                <w:szCs w:val="22"/>
                <w:lang w:val="ru-RU"/>
              </w:rPr>
              <w:t>мярката</w:t>
            </w:r>
            <w:proofErr w:type="spellEnd"/>
          </w:p>
        </w:tc>
        <w:tc>
          <w:tcPr>
            <w:tcW w:w="1134" w:type="dxa"/>
          </w:tcPr>
          <w:p w:rsidR="00A737D8" w:rsidRPr="004D4E34" w:rsidRDefault="00A737D8" w:rsidP="00C477B5">
            <w:pPr>
              <w:autoSpaceDE w:val="0"/>
              <w:autoSpaceDN w:val="0"/>
              <w:adjustRightInd w:val="0"/>
              <w:rPr>
                <w:rFonts w:eastAsia="Calibri"/>
                <w:sz w:val="22"/>
                <w:szCs w:val="22"/>
              </w:rPr>
            </w:pPr>
            <w:r w:rsidRPr="004D4E34">
              <w:rPr>
                <w:rFonts w:eastAsia="Calibri"/>
                <w:sz w:val="22"/>
                <w:szCs w:val="22"/>
              </w:rPr>
              <w:t>Брой</w:t>
            </w:r>
          </w:p>
        </w:tc>
        <w:tc>
          <w:tcPr>
            <w:tcW w:w="1559" w:type="dxa"/>
          </w:tcPr>
          <w:p w:rsidR="00A737D8" w:rsidRPr="004D4E34" w:rsidRDefault="00A737D8" w:rsidP="00DB1455">
            <w:pPr>
              <w:autoSpaceDE w:val="0"/>
              <w:autoSpaceDN w:val="0"/>
              <w:adjustRightInd w:val="0"/>
              <w:jc w:val="center"/>
              <w:rPr>
                <w:rFonts w:eastAsia="Calibri"/>
                <w:sz w:val="22"/>
                <w:szCs w:val="22"/>
              </w:rPr>
            </w:pPr>
            <w:r>
              <w:rPr>
                <w:rFonts w:eastAsia="Calibri"/>
                <w:sz w:val="22"/>
                <w:szCs w:val="22"/>
              </w:rPr>
              <w:t>4</w:t>
            </w:r>
          </w:p>
        </w:tc>
      </w:tr>
      <w:tr w:rsidR="00A737D8" w:rsidRPr="004D4E34" w:rsidTr="003053FB">
        <w:tc>
          <w:tcPr>
            <w:tcW w:w="1242" w:type="dxa"/>
            <w:vMerge/>
          </w:tcPr>
          <w:p w:rsidR="00A737D8" w:rsidRPr="004D4E34" w:rsidRDefault="00A737D8" w:rsidP="00C477B5">
            <w:pPr>
              <w:autoSpaceDE w:val="0"/>
              <w:autoSpaceDN w:val="0"/>
              <w:adjustRightInd w:val="0"/>
              <w:ind w:left="-108" w:right="-108"/>
              <w:jc w:val="center"/>
              <w:rPr>
                <w:rFonts w:eastAsia="Calibri"/>
                <w:sz w:val="22"/>
                <w:szCs w:val="22"/>
              </w:rPr>
            </w:pPr>
          </w:p>
        </w:tc>
        <w:tc>
          <w:tcPr>
            <w:tcW w:w="5387" w:type="dxa"/>
          </w:tcPr>
          <w:p w:rsidR="00A737D8" w:rsidRPr="004D4E34" w:rsidRDefault="00A737D8" w:rsidP="00792F97">
            <w:pPr>
              <w:autoSpaceDE w:val="0"/>
              <w:autoSpaceDN w:val="0"/>
              <w:adjustRightInd w:val="0"/>
              <w:rPr>
                <w:rFonts w:eastAsia="Calibri"/>
                <w:sz w:val="22"/>
                <w:szCs w:val="22"/>
                <w:lang w:val="ru-RU"/>
              </w:rPr>
            </w:pPr>
            <w:r w:rsidRPr="00A737D8">
              <w:rPr>
                <w:rFonts w:eastAsia="Calibri"/>
                <w:sz w:val="22"/>
                <w:szCs w:val="22"/>
                <w:lang w:val="ru-RU"/>
              </w:rPr>
              <w:t xml:space="preserve">Публичен принос по </w:t>
            </w:r>
            <w:proofErr w:type="spellStart"/>
            <w:r w:rsidRPr="00A737D8">
              <w:rPr>
                <w:rFonts w:eastAsia="Calibri"/>
                <w:sz w:val="22"/>
                <w:szCs w:val="22"/>
                <w:lang w:val="ru-RU"/>
              </w:rPr>
              <w:t>мярката</w:t>
            </w:r>
            <w:proofErr w:type="spellEnd"/>
          </w:p>
        </w:tc>
        <w:tc>
          <w:tcPr>
            <w:tcW w:w="1134" w:type="dxa"/>
          </w:tcPr>
          <w:p w:rsidR="00A737D8" w:rsidRPr="004D4E34" w:rsidRDefault="00A737D8" w:rsidP="00C477B5">
            <w:pPr>
              <w:autoSpaceDE w:val="0"/>
              <w:autoSpaceDN w:val="0"/>
              <w:adjustRightInd w:val="0"/>
              <w:rPr>
                <w:rFonts w:eastAsia="Calibri"/>
                <w:sz w:val="22"/>
                <w:szCs w:val="22"/>
              </w:rPr>
            </w:pPr>
            <w:r>
              <w:rPr>
                <w:rFonts w:eastAsia="Calibri"/>
                <w:sz w:val="22"/>
                <w:szCs w:val="22"/>
              </w:rPr>
              <w:t>Лева</w:t>
            </w:r>
          </w:p>
        </w:tc>
        <w:tc>
          <w:tcPr>
            <w:tcW w:w="1559" w:type="dxa"/>
          </w:tcPr>
          <w:p w:rsidR="00A737D8" w:rsidRDefault="005214D2" w:rsidP="00DB1455">
            <w:pPr>
              <w:autoSpaceDE w:val="0"/>
              <w:autoSpaceDN w:val="0"/>
              <w:adjustRightInd w:val="0"/>
              <w:jc w:val="center"/>
              <w:rPr>
                <w:rFonts w:eastAsia="Calibri"/>
                <w:sz w:val="22"/>
                <w:szCs w:val="22"/>
              </w:rPr>
            </w:pPr>
            <w:r>
              <w:rPr>
                <w:rFonts w:eastAsia="Calibri"/>
                <w:sz w:val="22"/>
                <w:szCs w:val="22"/>
              </w:rPr>
              <w:t>238 378,18</w:t>
            </w:r>
          </w:p>
        </w:tc>
      </w:tr>
      <w:tr w:rsidR="00A737D8" w:rsidRPr="00DD2123" w:rsidTr="003053FB">
        <w:trPr>
          <w:trHeight w:val="555"/>
        </w:trPr>
        <w:tc>
          <w:tcPr>
            <w:tcW w:w="1242" w:type="dxa"/>
            <w:vMerge w:val="restart"/>
          </w:tcPr>
          <w:p w:rsidR="00A737D8" w:rsidRPr="00792F97" w:rsidRDefault="00A737D8" w:rsidP="00723C24">
            <w:pPr>
              <w:autoSpaceDE w:val="0"/>
              <w:autoSpaceDN w:val="0"/>
              <w:adjustRightInd w:val="0"/>
              <w:ind w:left="-108" w:right="-108"/>
              <w:jc w:val="center"/>
              <w:rPr>
                <w:rFonts w:eastAsia="Calibri"/>
                <w:sz w:val="22"/>
                <w:szCs w:val="22"/>
              </w:rPr>
            </w:pPr>
            <w:r w:rsidRPr="00792F97">
              <w:rPr>
                <w:rFonts w:eastAsia="Calibri"/>
                <w:sz w:val="22"/>
                <w:szCs w:val="22"/>
              </w:rPr>
              <w:t>Резултат</w:t>
            </w: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са</w:t>
            </w:r>
            <w:proofErr w:type="spellEnd"/>
            <w:r w:rsidRPr="00105F4F">
              <w:rPr>
                <w:rFonts w:eastAsia="Calibri"/>
                <w:sz w:val="22"/>
                <w:szCs w:val="22"/>
                <w:lang w:val="ru-RU"/>
              </w:rPr>
              <w:t xml:space="preserve"> </w:t>
            </w:r>
            <w:proofErr w:type="spellStart"/>
            <w:r w:rsidRPr="00105F4F">
              <w:rPr>
                <w:rFonts w:eastAsia="Calibri"/>
                <w:sz w:val="22"/>
                <w:szCs w:val="22"/>
                <w:lang w:val="ru-RU"/>
              </w:rPr>
              <w:t>насочени</w:t>
            </w:r>
            <w:proofErr w:type="spellEnd"/>
            <w:r w:rsidRPr="00105F4F">
              <w:rPr>
                <w:rFonts w:eastAsia="Calibri"/>
                <w:sz w:val="22"/>
                <w:szCs w:val="22"/>
                <w:lang w:val="ru-RU"/>
              </w:rPr>
              <w:t xml:space="preserve"> </w:t>
            </w:r>
            <w:proofErr w:type="spellStart"/>
            <w:r w:rsidRPr="00105F4F">
              <w:rPr>
                <w:rFonts w:eastAsia="Calibri"/>
                <w:sz w:val="22"/>
                <w:szCs w:val="22"/>
                <w:lang w:val="ru-RU"/>
              </w:rPr>
              <w:t>към</w:t>
            </w:r>
            <w:proofErr w:type="spellEnd"/>
            <w:r w:rsidRPr="00105F4F">
              <w:rPr>
                <w:rFonts w:eastAsia="Calibri"/>
                <w:sz w:val="22"/>
                <w:szCs w:val="22"/>
                <w:lang w:val="ru-RU"/>
              </w:rPr>
              <w:t xml:space="preserve"> </w:t>
            </w:r>
            <w:proofErr w:type="spellStart"/>
            <w:r w:rsidRPr="00105F4F">
              <w:rPr>
                <w:rFonts w:eastAsia="Calibri"/>
                <w:sz w:val="22"/>
                <w:szCs w:val="22"/>
                <w:lang w:val="ru-RU"/>
              </w:rPr>
              <w:t>създаване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туристически</w:t>
            </w:r>
            <w:proofErr w:type="spellEnd"/>
            <w:r w:rsidRPr="00105F4F">
              <w:rPr>
                <w:rFonts w:eastAsia="Calibri"/>
                <w:sz w:val="22"/>
                <w:szCs w:val="22"/>
                <w:lang w:val="ru-RU"/>
              </w:rPr>
              <w:t xml:space="preserve"> услуги с </w:t>
            </w:r>
            <w:proofErr w:type="spellStart"/>
            <w:r w:rsidRPr="00105F4F">
              <w:rPr>
                <w:rFonts w:eastAsia="Calibri"/>
                <w:sz w:val="22"/>
                <w:szCs w:val="22"/>
                <w:lang w:val="ru-RU"/>
              </w:rPr>
              <w:t>най</w:t>
            </w:r>
            <w:proofErr w:type="spellEnd"/>
            <w:r w:rsidRPr="00105F4F">
              <w:rPr>
                <w:rFonts w:eastAsia="Calibri"/>
                <w:sz w:val="22"/>
                <w:szCs w:val="22"/>
                <w:lang w:val="ru-RU"/>
              </w:rPr>
              <w:t xml:space="preserve">-висок </w:t>
            </w:r>
            <w:proofErr w:type="spellStart"/>
            <w:r w:rsidRPr="00105F4F">
              <w:rPr>
                <w:rFonts w:eastAsia="Calibri"/>
                <w:sz w:val="22"/>
                <w:szCs w:val="22"/>
                <w:lang w:val="ru-RU"/>
              </w:rPr>
              <w:t>ефект</w:t>
            </w:r>
            <w:proofErr w:type="spellEnd"/>
            <w:r w:rsidRPr="00105F4F">
              <w:rPr>
                <w:rFonts w:eastAsia="Calibri"/>
                <w:sz w:val="22"/>
                <w:szCs w:val="22"/>
                <w:lang w:val="ru-RU"/>
              </w:rPr>
              <w:t xml:space="preserve"> </w:t>
            </w:r>
            <w:proofErr w:type="gramStart"/>
            <w:r w:rsidRPr="00105F4F">
              <w:rPr>
                <w:rFonts w:eastAsia="Calibri"/>
                <w:sz w:val="22"/>
                <w:szCs w:val="22"/>
                <w:lang w:val="ru-RU"/>
              </w:rPr>
              <w:t>с</w:t>
            </w:r>
            <w:proofErr w:type="gramEnd"/>
            <w:r w:rsidRPr="00105F4F">
              <w:rPr>
                <w:rFonts w:eastAsia="Calibri"/>
                <w:sz w:val="22"/>
                <w:szCs w:val="22"/>
                <w:lang w:val="ru-RU"/>
              </w:rPr>
              <w:t xml:space="preserve"> </w:t>
            </w:r>
            <w:proofErr w:type="gramStart"/>
            <w:r w:rsidRPr="00105F4F">
              <w:rPr>
                <w:rFonts w:eastAsia="Calibri"/>
                <w:sz w:val="22"/>
                <w:szCs w:val="22"/>
                <w:lang w:val="ru-RU"/>
              </w:rPr>
              <w:t>единица</w:t>
            </w:r>
            <w:proofErr w:type="gramEnd"/>
            <w:r w:rsidRPr="00105F4F">
              <w:rPr>
                <w:rFonts w:eastAsia="Calibri"/>
                <w:sz w:val="22"/>
                <w:szCs w:val="22"/>
                <w:lang w:val="ru-RU"/>
              </w:rPr>
              <w:t xml:space="preserve"> публичен ресурс</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DB1455">
            <w:pPr>
              <w:autoSpaceDE w:val="0"/>
              <w:autoSpaceDN w:val="0"/>
              <w:adjustRightInd w:val="0"/>
              <w:jc w:val="center"/>
              <w:rPr>
                <w:rFonts w:eastAsia="Calibri"/>
                <w:sz w:val="22"/>
                <w:szCs w:val="22"/>
              </w:rPr>
            </w:pPr>
            <w:r>
              <w:rPr>
                <w:rFonts w:eastAsia="Calibri"/>
                <w:sz w:val="22"/>
                <w:szCs w:val="22"/>
              </w:rPr>
              <w:t>3</w:t>
            </w:r>
          </w:p>
        </w:tc>
      </w:tr>
      <w:tr w:rsidR="00A737D8" w:rsidRPr="00DD2123" w:rsidTr="003053FB">
        <w:trPr>
          <w:trHeight w:val="104"/>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са</w:t>
            </w:r>
            <w:proofErr w:type="spellEnd"/>
            <w:r w:rsidRPr="00105F4F">
              <w:rPr>
                <w:rFonts w:eastAsia="Calibri"/>
                <w:sz w:val="22"/>
                <w:szCs w:val="22"/>
                <w:lang w:val="ru-RU"/>
              </w:rPr>
              <w:t xml:space="preserve"> </w:t>
            </w:r>
            <w:proofErr w:type="spellStart"/>
            <w:r w:rsidRPr="00105F4F">
              <w:rPr>
                <w:rFonts w:eastAsia="Calibri"/>
                <w:sz w:val="22"/>
                <w:szCs w:val="22"/>
                <w:lang w:val="ru-RU"/>
              </w:rPr>
              <w:t>иновативни</w:t>
            </w:r>
            <w:proofErr w:type="spellEnd"/>
            <w:r w:rsidRPr="00105F4F">
              <w:rPr>
                <w:rFonts w:eastAsia="Calibri"/>
                <w:sz w:val="22"/>
                <w:szCs w:val="22"/>
                <w:lang w:val="ru-RU"/>
              </w:rPr>
              <w:t xml:space="preserve"> или с </w:t>
            </w:r>
            <w:proofErr w:type="spellStart"/>
            <w:r w:rsidRPr="00105F4F">
              <w:rPr>
                <w:rFonts w:eastAsia="Calibri"/>
                <w:sz w:val="22"/>
                <w:szCs w:val="22"/>
                <w:lang w:val="ru-RU"/>
              </w:rPr>
              <w:t>иновативни</w:t>
            </w:r>
            <w:proofErr w:type="spellEnd"/>
            <w:r w:rsidRPr="00105F4F">
              <w:rPr>
                <w:rFonts w:eastAsia="Calibri"/>
                <w:sz w:val="22"/>
                <w:szCs w:val="22"/>
                <w:lang w:val="ru-RU"/>
              </w:rPr>
              <w:t xml:space="preserve"> </w:t>
            </w:r>
            <w:proofErr w:type="spellStart"/>
            <w:r w:rsidRPr="00105F4F">
              <w:rPr>
                <w:rFonts w:eastAsia="Calibri"/>
                <w:sz w:val="22"/>
                <w:szCs w:val="22"/>
                <w:lang w:val="ru-RU"/>
              </w:rPr>
              <w:t>елементи</w:t>
            </w:r>
            <w:proofErr w:type="spellEnd"/>
            <w:r w:rsidRPr="00105F4F">
              <w:rPr>
                <w:rFonts w:eastAsia="Calibri"/>
                <w:sz w:val="22"/>
                <w:szCs w:val="22"/>
                <w:lang w:val="ru-RU"/>
              </w:rPr>
              <w:t>/</w:t>
            </w:r>
            <w:proofErr w:type="spellStart"/>
            <w:r w:rsidRPr="00105F4F">
              <w:rPr>
                <w:rFonts w:eastAsia="Calibri"/>
                <w:sz w:val="22"/>
                <w:szCs w:val="22"/>
                <w:lang w:val="ru-RU"/>
              </w:rPr>
              <w:t>дейности</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DB1455">
            <w:pPr>
              <w:autoSpaceDE w:val="0"/>
              <w:autoSpaceDN w:val="0"/>
              <w:adjustRightInd w:val="0"/>
              <w:jc w:val="center"/>
              <w:rPr>
                <w:rFonts w:eastAsia="Calibri"/>
                <w:sz w:val="22"/>
                <w:szCs w:val="22"/>
              </w:rPr>
            </w:pPr>
            <w:r>
              <w:rPr>
                <w:rFonts w:eastAsia="Calibri"/>
                <w:sz w:val="22"/>
                <w:szCs w:val="22"/>
              </w:rPr>
              <w:t>3</w:t>
            </w:r>
          </w:p>
        </w:tc>
      </w:tr>
      <w:tr w:rsidR="00A737D8" w:rsidRPr="00DD2123" w:rsidTr="003053FB">
        <w:trPr>
          <w:trHeight w:val="113"/>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спомогат</w:t>
            </w:r>
            <w:proofErr w:type="spellEnd"/>
            <w:r w:rsidRPr="00105F4F">
              <w:rPr>
                <w:rFonts w:eastAsia="Calibri"/>
                <w:sz w:val="22"/>
                <w:szCs w:val="22"/>
                <w:lang w:val="ru-RU"/>
              </w:rPr>
              <w:t xml:space="preserve"> за увеличение на </w:t>
            </w:r>
            <w:proofErr w:type="spellStart"/>
            <w:r w:rsidRPr="00105F4F">
              <w:rPr>
                <w:rFonts w:eastAsia="Calibri"/>
                <w:sz w:val="22"/>
                <w:szCs w:val="22"/>
                <w:lang w:val="ru-RU"/>
              </w:rPr>
              <w:t>добавената</w:t>
            </w:r>
            <w:proofErr w:type="spellEnd"/>
            <w:r w:rsidRPr="00105F4F">
              <w:rPr>
                <w:rFonts w:eastAsia="Calibri"/>
                <w:sz w:val="22"/>
                <w:szCs w:val="22"/>
                <w:lang w:val="ru-RU"/>
              </w:rPr>
              <w:t xml:space="preserve"> </w:t>
            </w:r>
            <w:proofErr w:type="spellStart"/>
            <w:r w:rsidRPr="00105F4F">
              <w:rPr>
                <w:rFonts w:eastAsia="Calibri"/>
                <w:sz w:val="22"/>
                <w:szCs w:val="22"/>
                <w:lang w:val="ru-RU"/>
              </w:rPr>
              <w:t>стойност</w:t>
            </w:r>
            <w:proofErr w:type="spellEnd"/>
            <w:r w:rsidRPr="00105F4F">
              <w:rPr>
                <w:rFonts w:eastAsia="Calibri"/>
                <w:sz w:val="22"/>
                <w:szCs w:val="22"/>
                <w:lang w:val="ru-RU"/>
              </w:rPr>
              <w:t xml:space="preserve"> на </w:t>
            </w:r>
            <w:proofErr w:type="spellStart"/>
            <w:r w:rsidRPr="00105F4F">
              <w:rPr>
                <w:rFonts w:eastAsia="Calibri"/>
                <w:sz w:val="22"/>
                <w:szCs w:val="22"/>
                <w:lang w:val="ru-RU"/>
              </w:rPr>
              <w:t>територията</w:t>
            </w:r>
            <w:proofErr w:type="spellEnd"/>
            <w:r w:rsidRPr="00105F4F">
              <w:rPr>
                <w:rFonts w:eastAsia="Calibri"/>
                <w:sz w:val="22"/>
                <w:szCs w:val="22"/>
                <w:lang w:val="ru-RU"/>
              </w:rPr>
              <w:t xml:space="preserve"> чрез </w:t>
            </w:r>
            <w:proofErr w:type="spellStart"/>
            <w:r w:rsidRPr="00105F4F">
              <w:rPr>
                <w:rFonts w:eastAsia="Calibri"/>
                <w:sz w:val="22"/>
                <w:szCs w:val="22"/>
                <w:lang w:val="ru-RU"/>
              </w:rPr>
              <w:t>реализиране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нощувки</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DB1455">
            <w:pPr>
              <w:autoSpaceDE w:val="0"/>
              <w:autoSpaceDN w:val="0"/>
              <w:adjustRightInd w:val="0"/>
              <w:jc w:val="center"/>
              <w:rPr>
                <w:rFonts w:eastAsia="Calibri"/>
                <w:sz w:val="22"/>
                <w:szCs w:val="22"/>
              </w:rPr>
            </w:pPr>
            <w:r>
              <w:rPr>
                <w:rFonts w:eastAsia="Calibri"/>
                <w:sz w:val="22"/>
                <w:szCs w:val="22"/>
              </w:rPr>
              <w:t>3</w:t>
            </w:r>
          </w:p>
        </w:tc>
      </w:tr>
      <w:tr w:rsidR="00A737D8" w:rsidRPr="00DD2123" w:rsidTr="003053FB">
        <w:trPr>
          <w:trHeight w:val="137"/>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задоволяват</w:t>
            </w:r>
            <w:proofErr w:type="spellEnd"/>
            <w:r w:rsidRPr="00105F4F">
              <w:rPr>
                <w:rFonts w:eastAsia="Calibri"/>
                <w:sz w:val="22"/>
                <w:szCs w:val="22"/>
                <w:lang w:val="ru-RU"/>
              </w:rPr>
              <w:t xml:space="preserve"> </w:t>
            </w:r>
            <w:proofErr w:type="spellStart"/>
            <w:r w:rsidRPr="00105F4F">
              <w:rPr>
                <w:rFonts w:eastAsia="Calibri"/>
                <w:sz w:val="22"/>
                <w:szCs w:val="22"/>
                <w:lang w:val="ru-RU"/>
              </w:rPr>
              <w:t>потребностите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уязвими</w:t>
            </w:r>
            <w:proofErr w:type="spellEnd"/>
            <w:r w:rsidRPr="00105F4F">
              <w:rPr>
                <w:rFonts w:eastAsia="Calibri"/>
                <w:sz w:val="22"/>
                <w:szCs w:val="22"/>
                <w:lang w:val="ru-RU"/>
              </w:rPr>
              <w:t xml:space="preserve"> </w:t>
            </w:r>
            <w:proofErr w:type="spellStart"/>
            <w:r w:rsidRPr="00105F4F">
              <w:rPr>
                <w:rFonts w:eastAsia="Calibri"/>
                <w:sz w:val="22"/>
                <w:szCs w:val="22"/>
                <w:lang w:val="ru-RU"/>
              </w:rPr>
              <w:t>групи</w:t>
            </w:r>
            <w:proofErr w:type="spellEnd"/>
            <w:r w:rsidRPr="00105F4F">
              <w:rPr>
                <w:rFonts w:eastAsia="Calibri"/>
                <w:sz w:val="22"/>
                <w:szCs w:val="22"/>
                <w:lang w:val="ru-RU"/>
              </w:rPr>
              <w:t xml:space="preserve"> от </w:t>
            </w:r>
            <w:proofErr w:type="spellStart"/>
            <w:r w:rsidRPr="00105F4F">
              <w:rPr>
                <w:rFonts w:eastAsia="Calibri"/>
                <w:sz w:val="22"/>
                <w:szCs w:val="22"/>
                <w:lang w:val="ru-RU"/>
              </w:rPr>
              <w:t>населението</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DB1455">
            <w:pPr>
              <w:autoSpaceDE w:val="0"/>
              <w:autoSpaceDN w:val="0"/>
              <w:adjustRightInd w:val="0"/>
              <w:jc w:val="center"/>
              <w:rPr>
                <w:rFonts w:eastAsia="Calibri"/>
                <w:sz w:val="22"/>
                <w:szCs w:val="22"/>
              </w:rPr>
            </w:pPr>
            <w:r>
              <w:rPr>
                <w:rFonts w:eastAsia="Calibri"/>
                <w:sz w:val="22"/>
                <w:szCs w:val="22"/>
              </w:rPr>
              <w:t>1</w:t>
            </w:r>
          </w:p>
        </w:tc>
      </w:tr>
      <w:tr w:rsidR="00A737D8" w:rsidRPr="00DD2123" w:rsidTr="00105F4F">
        <w:trPr>
          <w:trHeight w:val="4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спомагат</w:t>
            </w:r>
            <w:proofErr w:type="spellEnd"/>
            <w:r w:rsidRPr="00105F4F">
              <w:rPr>
                <w:rFonts w:eastAsia="Calibri"/>
                <w:sz w:val="22"/>
                <w:szCs w:val="22"/>
                <w:lang w:val="ru-RU"/>
              </w:rPr>
              <w:t xml:space="preserve"> за </w:t>
            </w:r>
            <w:proofErr w:type="spellStart"/>
            <w:r w:rsidRPr="00105F4F">
              <w:rPr>
                <w:rFonts w:eastAsia="Calibri"/>
                <w:sz w:val="22"/>
                <w:szCs w:val="22"/>
                <w:lang w:val="ru-RU"/>
              </w:rPr>
              <w:t>изграждането</w:t>
            </w:r>
            <w:proofErr w:type="spellEnd"/>
            <w:r w:rsidRPr="00105F4F">
              <w:rPr>
                <w:rFonts w:eastAsia="Calibri"/>
                <w:sz w:val="22"/>
                <w:szCs w:val="22"/>
                <w:lang w:val="ru-RU"/>
              </w:rPr>
              <w:t xml:space="preserve"> на </w:t>
            </w:r>
            <w:proofErr w:type="spellStart"/>
            <w:r w:rsidRPr="00105F4F">
              <w:rPr>
                <w:rFonts w:eastAsia="Calibri"/>
                <w:sz w:val="22"/>
                <w:szCs w:val="22"/>
                <w:lang w:val="ru-RU"/>
              </w:rPr>
              <w:t>обществени</w:t>
            </w:r>
            <w:proofErr w:type="spellEnd"/>
            <w:r w:rsidRPr="00105F4F">
              <w:rPr>
                <w:rFonts w:eastAsia="Calibri"/>
                <w:sz w:val="22"/>
                <w:szCs w:val="22"/>
                <w:lang w:val="ru-RU"/>
              </w:rPr>
              <w:t xml:space="preserve"> </w:t>
            </w:r>
            <w:proofErr w:type="spellStart"/>
            <w:r w:rsidRPr="00105F4F">
              <w:rPr>
                <w:rFonts w:eastAsia="Calibri"/>
                <w:sz w:val="22"/>
                <w:szCs w:val="22"/>
                <w:lang w:val="ru-RU"/>
              </w:rPr>
              <w:t>зони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отдих</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DB1455">
            <w:pPr>
              <w:autoSpaceDE w:val="0"/>
              <w:autoSpaceDN w:val="0"/>
              <w:adjustRightInd w:val="0"/>
              <w:jc w:val="center"/>
              <w:rPr>
                <w:rFonts w:eastAsia="Calibri"/>
                <w:sz w:val="22"/>
                <w:szCs w:val="22"/>
              </w:rPr>
            </w:pPr>
            <w:r>
              <w:rPr>
                <w:rFonts w:eastAsia="Calibri"/>
                <w:sz w:val="22"/>
                <w:szCs w:val="22"/>
              </w:rPr>
              <w:t>2</w:t>
            </w:r>
          </w:p>
        </w:tc>
      </w:tr>
      <w:tr w:rsidR="00A737D8" w:rsidRPr="00DD2123" w:rsidTr="003053FB">
        <w:trPr>
          <w:trHeight w:val="7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включват</w:t>
            </w:r>
            <w:proofErr w:type="spellEnd"/>
            <w:r w:rsidRPr="00105F4F">
              <w:rPr>
                <w:rFonts w:eastAsia="Calibri"/>
                <w:sz w:val="22"/>
                <w:szCs w:val="22"/>
                <w:lang w:val="ru-RU"/>
              </w:rPr>
              <w:t xml:space="preserve"> </w:t>
            </w:r>
            <w:proofErr w:type="spellStart"/>
            <w:r w:rsidRPr="00105F4F">
              <w:rPr>
                <w:rFonts w:eastAsia="Calibri"/>
                <w:sz w:val="22"/>
                <w:szCs w:val="22"/>
                <w:lang w:val="ru-RU"/>
              </w:rPr>
              <w:t>изграждане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достъпна</w:t>
            </w:r>
            <w:proofErr w:type="spellEnd"/>
            <w:r w:rsidRPr="00105F4F">
              <w:rPr>
                <w:rFonts w:eastAsia="Calibri"/>
                <w:sz w:val="22"/>
                <w:szCs w:val="22"/>
                <w:lang w:val="ru-RU"/>
              </w:rPr>
              <w:t xml:space="preserve"> архитектурна среда </w:t>
            </w:r>
            <w:proofErr w:type="gramStart"/>
            <w:r w:rsidRPr="00105F4F">
              <w:rPr>
                <w:rFonts w:eastAsia="Calibri"/>
                <w:sz w:val="22"/>
                <w:szCs w:val="22"/>
                <w:lang w:val="ru-RU"/>
              </w:rPr>
              <w:t>за</w:t>
            </w:r>
            <w:proofErr w:type="gramEnd"/>
            <w:r w:rsidRPr="00105F4F">
              <w:rPr>
                <w:rFonts w:eastAsia="Calibri"/>
                <w:sz w:val="22"/>
                <w:szCs w:val="22"/>
                <w:lang w:val="ru-RU"/>
              </w:rPr>
              <w:t xml:space="preserve"> хора с </w:t>
            </w:r>
            <w:proofErr w:type="spellStart"/>
            <w:r w:rsidRPr="00105F4F">
              <w:rPr>
                <w:rFonts w:eastAsia="Calibri"/>
                <w:sz w:val="22"/>
                <w:szCs w:val="22"/>
                <w:lang w:val="ru-RU"/>
              </w:rPr>
              <w:t>увреждания</w:t>
            </w:r>
            <w:proofErr w:type="spellEnd"/>
            <w:r w:rsidRPr="00105F4F">
              <w:rPr>
                <w:rFonts w:eastAsia="Calibri"/>
                <w:sz w:val="22"/>
                <w:szCs w:val="22"/>
                <w:lang w:val="ru-RU"/>
              </w:rPr>
              <w:t xml:space="preserve"> до места, </w:t>
            </w:r>
            <w:proofErr w:type="spellStart"/>
            <w:r w:rsidRPr="00105F4F">
              <w:rPr>
                <w:rFonts w:eastAsia="Calibri"/>
                <w:sz w:val="22"/>
                <w:szCs w:val="22"/>
                <w:lang w:val="ru-RU"/>
              </w:rPr>
              <w:t>свързани</w:t>
            </w:r>
            <w:proofErr w:type="spellEnd"/>
            <w:r w:rsidRPr="00105F4F">
              <w:rPr>
                <w:rFonts w:eastAsia="Calibri"/>
                <w:sz w:val="22"/>
                <w:szCs w:val="22"/>
                <w:lang w:val="ru-RU"/>
              </w:rPr>
              <w:t xml:space="preserve"> с </w:t>
            </w:r>
            <w:proofErr w:type="spellStart"/>
            <w:r w:rsidRPr="00105F4F">
              <w:rPr>
                <w:rFonts w:eastAsia="Calibri"/>
                <w:sz w:val="22"/>
                <w:szCs w:val="22"/>
                <w:lang w:val="ru-RU"/>
              </w:rPr>
              <w:t>отдих</w:t>
            </w:r>
            <w:proofErr w:type="spellEnd"/>
            <w:r w:rsidRPr="00105F4F">
              <w:rPr>
                <w:rFonts w:eastAsia="Calibri"/>
                <w:sz w:val="22"/>
                <w:szCs w:val="22"/>
                <w:lang w:val="ru-RU"/>
              </w:rPr>
              <w:t xml:space="preserve"> и </w:t>
            </w:r>
            <w:proofErr w:type="spellStart"/>
            <w:r w:rsidRPr="00105F4F">
              <w:rPr>
                <w:rFonts w:eastAsia="Calibri"/>
                <w:sz w:val="22"/>
                <w:szCs w:val="22"/>
                <w:lang w:val="ru-RU"/>
              </w:rPr>
              <w:t>туризъм</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DB1455">
            <w:pPr>
              <w:autoSpaceDE w:val="0"/>
              <w:autoSpaceDN w:val="0"/>
              <w:adjustRightInd w:val="0"/>
              <w:jc w:val="center"/>
              <w:rPr>
                <w:rFonts w:eastAsia="Calibri"/>
                <w:sz w:val="22"/>
                <w:szCs w:val="22"/>
              </w:rPr>
            </w:pPr>
            <w:r>
              <w:rPr>
                <w:rFonts w:eastAsia="Calibri"/>
                <w:sz w:val="22"/>
                <w:szCs w:val="22"/>
              </w:rPr>
              <w:t>1</w:t>
            </w:r>
          </w:p>
        </w:tc>
      </w:tr>
      <w:tr w:rsidR="00A737D8" w:rsidRPr="00DD2123" w:rsidTr="003053FB">
        <w:trPr>
          <w:trHeight w:val="513"/>
        </w:trPr>
        <w:tc>
          <w:tcPr>
            <w:tcW w:w="1242" w:type="dxa"/>
            <w:vMerge/>
          </w:tcPr>
          <w:p w:rsidR="00A737D8" w:rsidRPr="00792F97" w:rsidRDefault="00A737D8" w:rsidP="002A737A">
            <w:pPr>
              <w:autoSpaceDE w:val="0"/>
              <w:autoSpaceDN w:val="0"/>
              <w:adjustRightInd w:val="0"/>
              <w:ind w:left="-108" w:right="-108"/>
              <w:jc w:val="center"/>
              <w:rPr>
                <w:rFonts w:eastAsia="Calibri"/>
                <w:sz w:val="22"/>
                <w:szCs w:val="22"/>
              </w:rPr>
            </w:pPr>
          </w:p>
        </w:tc>
        <w:tc>
          <w:tcPr>
            <w:tcW w:w="5387" w:type="dxa"/>
          </w:tcPr>
          <w:p w:rsidR="00A737D8" w:rsidRPr="00105F4F" w:rsidRDefault="00A737D8" w:rsidP="002A737A">
            <w:pPr>
              <w:autoSpaceDE w:val="0"/>
              <w:autoSpaceDN w:val="0"/>
              <w:adjustRightInd w:val="0"/>
              <w:rPr>
                <w:rFonts w:eastAsia="Calibri"/>
                <w:sz w:val="22"/>
                <w:szCs w:val="22"/>
                <w:lang w:val="ru-RU"/>
              </w:rPr>
            </w:pPr>
            <w:r w:rsidRPr="00105F4F">
              <w:rPr>
                <w:rFonts w:eastAsia="Calibri"/>
                <w:sz w:val="22"/>
                <w:szCs w:val="22"/>
                <w:lang w:val="ru-RU"/>
              </w:rPr>
              <w:t xml:space="preserve">Принос </w:t>
            </w:r>
            <w:proofErr w:type="gramStart"/>
            <w:r w:rsidRPr="00105F4F">
              <w:rPr>
                <w:rFonts w:eastAsia="Calibri"/>
                <w:sz w:val="22"/>
                <w:szCs w:val="22"/>
                <w:lang w:val="ru-RU"/>
              </w:rPr>
              <w:t>на</w:t>
            </w:r>
            <w:proofErr w:type="gramEnd"/>
            <w:r w:rsidRPr="00105F4F">
              <w:rPr>
                <w:rFonts w:eastAsia="Calibri"/>
                <w:sz w:val="22"/>
                <w:szCs w:val="22"/>
                <w:lang w:val="ru-RU"/>
              </w:rPr>
              <w:t xml:space="preserve"> проекта </w:t>
            </w:r>
            <w:proofErr w:type="spellStart"/>
            <w:r w:rsidRPr="00105F4F">
              <w:rPr>
                <w:rFonts w:eastAsia="Calibri"/>
                <w:sz w:val="22"/>
                <w:szCs w:val="22"/>
                <w:lang w:val="ru-RU"/>
              </w:rPr>
              <w:t>към</w:t>
            </w:r>
            <w:proofErr w:type="spellEnd"/>
            <w:r w:rsidRPr="00105F4F">
              <w:rPr>
                <w:rFonts w:eastAsia="Calibri"/>
                <w:sz w:val="22"/>
                <w:szCs w:val="22"/>
                <w:lang w:val="ru-RU"/>
              </w:rPr>
              <w:t xml:space="preserve"> целите и </w:t>
            </w:r>
            <w:proofErr w:type="spellStart"/>
            <w:r w:rsidRPr="00105F4F">
              <w:rPr>
                <w:rFonts w:eastAsia="Calibri"/>
                <w:sz w:val="22"/>
                <w:szCs w:val="22"/>
                <w:lang w:val="ru-RU"/>
              </w:rPr>
              <w:t>приоритетите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Стратегията</w:t>
            </w:r>
            <w:proofErr w:type="spellEnd"/>
          </w:p>
        </w:tc>
        <w:tc>
          <w:tcPr>
            <w:tcW w:w="1134" w:type="dxa"/>
          </w:tcPr>
          <w:p w:rsidR="00A737D8" w:rsidRPr="00792F97" w:rsidRDefault="00A737D8" w:rsidP="002A737A">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105F4F" w:rsidRDefault="005628A1" w:rsidP="00DB1455">
            <w:pPr>
              <w:autoSpaceDE w:val="0"/>
              <w:autoSpaceDN w:val="0"/>
              <w:adjustRightInd w:val="0"/>
              <w:jc w:val="center"/>
              <w:rPr>
                <w:rFonts w:eastAsia="Calibri"/>
                <w:sz w:val="22"/>
                <w:szCs w:val="22"/>
                <w:highlight w:val="yellow"/>
              </w:rPr>
            </w:pPr>
            <w:r w:rsidRPr="006A32E0">
              <w:rPr>
                <w:rFonts w:eastAsia="Calibri"/>
                <w:sz w:val="22"/>
                <w:szCs w:val="22"/>
              </w:rPr>
              <w:t>3</w:t>
            </w:r>
          </w:p>
        </w:tc>
      </w:tr>
      <w:tr w:rsidR="00A737D8" w:rsidRPr="00DD2123" w:rsidTr="003053FB">
        <w:trPr>
          <w:trHeight w:val="230"/>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Брой</w:t>
            </w:r>
            <w:proofErr w:type="spellEnd"/>
            <w:r w:rsidRPr="00105F4F">
              <w:rPr>
                <w:rFonts w:eastAsia="Calibri"/>
                <w:sz w:val="22"/>
                <w:szCs w:val="22"/>
                <w:lang w:val="ru-RU"/>
              </w:rPr>
              <w:t xml:space="preserve"> </w:t>
            </w:r>
            <w:proofErr w:type="spellStart"/>
            <w:r w:rsidRPr="00105F4F">
              <w:rPr>
                <w:rFonts w:eastAsia="Calibri"/>
                <w:sz w:val="22"/>
                <w:szCs w:val="22"/>
                <w:lang w:val="ru-RU"/>
              </w:rPr>
              <w:t>устойчиви</w:t>
            </w:r>
            <w:proofErr w:type="spellEnd"/>
            <w:r w:rsidRPr="00105F4F">
              <w:rPr>
                <w:rFonts w:eastAsia="Calibri"/>
                <w:sz w:val="22"/>
                <w:szCs w:val="22"/>
                <w:lang w:val="ru-RU"/>
              </w:rPr>
              <w:t xml:space="preserve"> </w:t>
            </w:r>
            <w:proofErr w:type="spellStart"/>
            <w:r w:rsidRPr="00105F4F">
              <w:rPr>
                <w:rFonts w:eastAsia="Calibri"/>
                <w:sz w:val="22"/>
                <w:szCs w:val="22"/>
                <w:lang w:val="ru-RU"/>
              </w:rPr>
              <w:t>проекти</w:t>
            </w:r>
            <w:proofErr w:type="spellEnd"/>
          </w:p>
        </w:tc>
        <w:tc>
          <w:tcPr>
            <w:tcW w:w="1134" w:type="dxa"/>
          </w:tcPr>
          <w:p w:rsidR="00A737D8" w:rsidRPr="00792F97" w:rsidRDefault="00A737D8" w:rsidP="002A737A">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105F4F" w:rsidRDefault="005628A1" w:rsidP="00DB1455">
            <w:pPr>
              <w:autoSpaceDE w:val="0"/>
              <w:autoSpaceDN w:val="0"/>
              <w:adjustRightInd w:val="0"/>
              <w:jc w:val="center"/>
              <w:rPr>
                <w:rFonts w:eastAsia="Calibri"/>
                <w:sz w:val="22"/>
                <w:szCs w:val="22"/>
                <w:highlight w:val="yellow"/>
              </w:rPr>
            </w:pPr>
            <w:r w:rsidRPr="006A32E0">
              <w:rPr>
                <w:rFonts w:eastAsia="Calibri"/>
                <w:sz w:val="22"/>
                <w:szCs w:val="22"/>
              </w:rPr>
              <w:t>3</w:t>
            </w:r>
          </w:p>
        </w:tc>
      </w:tr>
      <w:tr w:rsidR="00A737D8" w:rsidRPr="00DD2123" w:rsidTr="003053FB">
        <w:trPr>
          <w:trHeight w:val="513"/>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включват</w:t>
            </w:r>
            <w:proofErr w:type="spellEnd"/>
            <w:r w:rsidRPr="00105F4F">
              <w:rPr>
                <w:rFonts w:eastAsia="Calibri"/>
                <w:sz w:val="22"/>
                <w:szCs w:val="22"/>
                <w:lang w:val="ru-RU"/>
              </w:rPr>
              <w:t xml:space="preserve"> </w:t>
            </w:r>
            <w:proofErr w:type="spellStart"/>
            <w:r w:rsidRPr="00105F4F">
              <w:rPr>
                <w:rFonts w:eastAsia="Calibri"/>
                <w:sz w:val="22"/>
                <w:szCs w:val="22"/>
                <w:lang w:val="ru-RU"/>
              </w:rPr>
              <w:t>елементи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експониране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местното</w:t>
            </w:r>
            <w:proofErr w:type="spellEnd"/>
            <w:r w:rsidRPr="00105F4F">
              <w:rPr>
                <w:rFonts w:eastAsia="Calibri"/>
                <w:sz w:val="22"/>
                <w:szCs w:val="22"/>
                <w:lang w:val="ru-RU"/>
              </w:rPr>
              <w:t xml:space="preserve"> </w:t>
            </w:r>
            <w:proofErr w:type="spellStart"/>
            <w:r w:rsidRPr="00105F4F">
              <w:rPr>
                <w:rFonts w:eastAsia="Calibri"/>
                <w:sz w:val="22"/>
                <w:szCs w:val="22"/>
                <w:lang w:val="ru-RU"/>
              </w:rPr>
              <w:t>културно</w:t>
            </w:r>
            <w:proofErr w:type="spellEnd"/>
            <w:r w:rsidRPr="00105F4F">
              <w:rPr>
                <w:rFonts w:eastAsia="Calibri"/>
                <w:sz w:val="22"/>
                <w:szCs w:val="22"/>
                <w:lang w:val="ru-RU"/>
              </w:rPr>
              <w:t xml:space="preserve"> наследство</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DB1455">
            <w:pPr>
              <w:autoSpaceDE w:val="0"/>
              <w:autoSpaceDN w:val="0"/>
              <w:adjustRightInd w:val="0"/>
              <w:jc w:val="center"/>
              <w:rPr>
                <w:rFonts w:eastAsia="Calibri"/>
                <w:sz w:val="22"/>
                <w:szCs w:val="22"/>
              </w:rPr>
            </w:pPr>
            <w:r>
              <w:rPr>
                <w:rFonts w:eastAsia="Calibri"/>
                <w:sz w:val="22"/>
                <w:szCs w:val="22"/>
              </w:rPr>
              <w:t>2</w:t>
            </w:r>
          </w:p>
        </w:tc>
      </w:tr>
      <w:tr w:rsidR="00A737D8" w:rsidRPr="00DD2123" w:rsidTr="003053FB">
        <w:trPr>
          <w:trHeight w:val="350"/>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предвиждат</w:t>
            </w:r>
            <w:proofErr w:type="spellEnd"/>
            <w:r w:rsidRPr="00105F4F">
              <w:rPr>
                <w:rFonts w:eastAsia="Calibri"/>
                <w:sz w:val="22"/>
                <w:szCs w:val="22"/>
                <w:lang w:val="ru-RU"/>
              </w:rPr>
              <w:t xml:space="preserve"> демонстрация на </w:t>
            </w:r>
            <w:proofErr w:type="spellStart"/>
            <w:r w:rsidRPr="00105F4F">
              <w:rPr>
                <w:rFonts w:eastAsia="Calibri"/>
                <w:sz w:val="22"/>
                <w:szCs w:val="22"/>
                <w:lang w:val="ru-RU"/>
              </w:rPr>
              <w:t>местни</w:t>
            </w:r>
            <w:proofErr w:type="spellEnd"/>
            <w:r w:rsidRPr="00105F4F">
              <w:rPr>
                <w:rFonts w:eastAsia="Calibri"/>
                <w:sz w:val="22"/>
                <w:szCs w:val="22"/>
                <w:lang w:val="ru-RU"/>
              </w:rPr>
              <w:t xml:space="preserve"> </w:t>
            </w:r>
            <w:proofErr w:type="spellStart"/>
            <w:r w:rsidRPr="00105F4F">
              <w:rPr>
                <w:rFonts w:eastAsia="Calibri"/>
                <w:sz w:val="22"/>
                <w:szCs w:val="22"/>
                <w:lang w:val="ru-RU"/>
              </w:rPr>
              <w:t>занаяти</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DB1455">
            <w:pPr>
              <w:autoSpaceDE w:val="0"/>
              <w:autoSpaceDN w:val="0"/>
              <w:adjustRightInd w:val="0"/>
              <w:jc w:val="center"/>
              <w:rPr>
                <w:rFonts w:eastAsia="Calibri"/>
                <w:sz w:val="22"/>
                <w:szCs w:val="22"/>
              </w:rPr>
            </w:pPr>
            <w:r>
              <w:rPr>
                <w:rFonts w:eastAsia="Calibri"/>
                <w:sz w:val="22"/>
                <w:szCs w:val="22"/>
              </w:rPr>
              <w:t>1</w:t>
            </w:r>
          </w:p>
        </w:tc>
      </w:tr>
      <w:tr w:rsidR="00A737D8" w:rsidRPr="00DD2123" w:rsidTr="003053FB">
        <w:trPr>
          <w:trHeight w:val="5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предвиждат</w:t>
            </w:r>
            <w:proofErr w:type="spellEnd"/>
            <w:r w:rsidRPr="00105F4F">
              <w:rPr>
                <w:rFonts w:eastAsia="Calibri"/>
                <w:sz w:val="22"/>
                <w:szCs w:val="22"/>
                <w:lang w:val="ru-RU"/>
              </w:rPr>
              <w:t xml:space="preserve"> </w:t>
            </w:r>
            <w:proofErr w:type="spellStart"/>
            <w:r w:rsidRPr="00105F4F">
              <w:rPr>
                <w:rFonts w:eastAsia="Calibri"/>
                <w:sz w:val="22"/>
                <w:szCs w:val="22"/>
                <w:lang w:val="ru-RU"/>
              </w:rPr>
              <w:t>дейности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популяризиране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туристическа</w:t>
            </w:r>
            <w:proofErr w:type="spellEnd"/>
            <w:r w:rsidRPr="00105F4F">
              <w:rPr>
                <w:rFonts w:eastAsia="Calibri"/>
                <w:sz w:val="22"/>
                <w:szCs w:val="22"/>
                <w:lang w:val="ru-RU"/>
              </w:rPr>
              <w:t xml:space="preserve"> </w:t>
            </w:r>
            <w:proofErr w:type="spellStart"/>
            <w:r w:rsidRPr="00105F4F">
              <w:rPr>
                <w:rFonts w:eastAsia="Calibri"/>
                <w:sz w:val="22"/>
                <w:szCs w:val="22"/>
                <w:lang w:val="ru-RU"/>
              </w:rPr>
              <w:t>дестинация</w:t>
            </w:r>
            <w:proofErr w:type="spellEnd"/>
            <w:r w:rsidRPr="00105F4F">
              <w:rPr>
                <w:rFonts w:eastAsia="Calibri"/>
                <w:sz w:val="22"/>
                <w:szCs w:val="22"/>
                <w:lang w:val="ru-RU"/>
              </w:rPr>
              <w:t xml:space="preserve"> </w:t>
            </w:r>
            <w:proofErr w:type="spellStart"/>
            <w:r w:rsidRPr="00105F4F">
              <w:rPr>
                <w:rFonts w:eastAsia="Calibri"/>
                <w:sz w:val="22"/>
                <w:szCs w:val="22"/>
                <w:lang w:val="ru-RU"/>
              </w:rPr>
              <w:t>Марица</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DB1455">
            <w:pPr>
              <w:autoSpaceDE w:val="0"/>
              <w:autoSpaceDN w:val="0"/>
              <w:adjustRightInd w:val="0"/>
              <w:jc w:val="center"/>
              <w:rPr>
                <w:rFonts w:eastAsia="Calibri"/>
                <w:sz w:val="22"/>
                <w:szCs w:val="22"/>
              </w:rPr>
            </w:pPr>
            <w:r>
              <w:rPr>
                <w:rFonts w:eastAsia="Calibri"/>
                <w:sz w:val="22"/>
                <w:szCs w:val="22"/>
              </w:rPr>
              <w:t>2</w:t>
            </w:r>
          </w:p>
        </w:tc>
      </w:tr>
      <w:tr w:rsidR="00A737D8" w:rsidRPr="00DD2123" w:rsidTr="003053FB">
        <w:trPr>
          <w:trHeight w:val="6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DA000D">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решават</w:t>
            </w:r>
            <w:proofErr w:type="spellEnd"/>
            <w:r w:rsidRPr="00105F4F">
              <w:rPr>
                <w:rFonts w:eastAsia="Calibri"/>
                <w:sz w:val="22"/>
                <w:szCs w:val="22"/>
                <w:lang w:val="ru-RU"/>
              </w:rPr>
              <w:t xml:space="preserve"> </w:t>
            </w:r>
            <w:proofErr w:type="spellStart"/>
            <w:r w:rsidRPr="00105F4F">
              <w:rPr>
                <w:rFonts w:eastAsia="Calibri"/>
                <w:sz w:val="22"/>
                <w:szCs w:val="22"/>
                <w:lang w:val="ru-RU"/>
              </w:rPr>
              <w:t>проблеми</w:t>
            </w:r>
            <w:proofErr w:type="spellEnd"/>
            <w:r w:rsidRPr="00105F4F">
              <w:rPr>
                <w:rFonts w:eastAsia="Calibri"/>
                <w:sz w:val="22"/>
                <w:szCs w:val="22"/>
                <w:lang w:val="ru-RU"/>
              </w:rPr>
              <w:t xml:space="preserve">, </w:t>
            </w:r>
            <w:proofErr w:type="spellStart"/>
            <w:r w:rsidRPr="00105F4F">
              <w:rPr>
                <w:rFonts w:eastAsia="Calibri"/>
                <w:sz w:val="22"/>
                <w:szCs w:val="22"/>
                <w:lang w:val="ru-RU"/>
              </w:rPr>
              <w:t>идентифицирани</w:t>
            </w:r>
            <w:proofErr w:type="spellEnd"/>
            <w:r w:rsidRPr="00105F4F">
              <w:rPr>
                <w:rFonts w:eastAsia="Calibri"/>
                <w:sz w:val="22"/>
                <w:szCs w:val="22"/>
                <w:lang w:val="ru-RU"/>
              </w:rPr>
              <w:t xml:space="preserve"> в </w:t>
            </w:r>
            <w:proofErr w:type="spellStart"/>
            <w:r w:rsidRPr="00105F4F">
              <w:rPr>
                <w:rFonts w:eastAsia="Calibri"/>
                <w:sz w:val="22"/>
                <w:szCs w:val="22"/>
                <w:lang w:val="ru-RU"/>
              </w:rPr>
              <w:t>общинския</w:t>
            </w:r>
            <w:proofErr w:type="spellEnd"/>
            <w:r w:rsidRPr="00105F4F">
              <w:rPr>
                <w:rFonts w:eastAsia="Calibri"/>
                <w:sz w:val="22"/>
                <w:szCs w:val="22"/>
                <w:lang w:val="ru-RU"/>
              </w:rPr>
              <w:t xml:space="preserve"> план за развитие</w:t>
            </w:r>
          </w:p>
        </w:tc>
        <w:tc>
          <w:tcPr>
            <w:tcW w:w="1134" w:type="dxa"/>
          </w:tcPr>
          <w:p w:rsidR="00A737D8" w:rsidRPr="00792F97" w:rsidRDefault="00A737D8" w:rsidP="002A737A">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DB1455">
            <w:pPr>
              <w:autoSpaceDE w:val="0"/>
              <w:autoSpaceDN w:val="0"/>
              <w:adjustRightInd w:val="0"/>
              <w:jc w:val="center"/>
              <w:rPr>
                <w:rFonts w:eastAsia="Calibri"/>
                <w:sz w:val="22"/>
                <w:szCs w:val="22"/>
              </w:rPr>
            </w:pPr>
            <w:r w:rsidRPr="006A32E0">
              <w:rPr>
                <w:rFonts w:eastAsia="Calibri"/>
                <w:sz w:val="22"/>
                <w:szCs w:val="22"/>
              </w:rPr>
              <w:t>3</w:t>
            </w:r>
          </w:p>
        </w:tc>
      </w:tr>
      <w:tr w:rsidR="00A737D8" w:rsidRPr="00DD2123" w:rsidTr="003053FB">
        <w:trPr>
          <w:trHeight w:val="6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DA000D">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са</w:t>
            </w:r>
            <w:proofErr w:type="spellEnd"/>
            <w:r w:rsidRPr="00105F4F">
              <w:rPr>
                <w:rFonts w:eastAsia="Calibri"/>
                <w:sz w:val="22"/>
                <w:szCs w:val="22"/>
                <w:lang w:val="ru-RU"/>
              </w:rPr>
              <w:t xml:space="preserve"> </w:t>
            </w:r>
            <w:proofErr w:type="spellStart"/>
            <w:r w:rsidRPr="00105F4F">
              <w:rPr>
                <w:rFonts w:eastAsia="Calibri"/>
                <w:sz w:val="22"/>
                <w:szCs w:val="22"/>
                <w:lang w:val="ru-RU"/>
              </w:rPr>
              <w:t>обвързани</w:t>
            </w:r>
            <w:proofErr w:type="spellEnd"/>
            <w:r w:rsidRPr="00105F4F">
              <w:rPr>
                <w:rFonts w:eastAsia="Calibri"/>
                <w:sz w:val="22"/>
                <w:szCs w:val="22"/>
                <w:lang w:val="ru-RU"/>
              </w:rPr>
              <w:t xml:space="preserve">  с </w:t>
            </w:r>
            <w:proofErr w:type="spellStart"/>
            <w:r w:rsidRPr="00105F4F">
              <w:rPr>
                <w:rFonts w:eastAsia="Calibri"/>
                <w:sz w:val="22"/>
                <w:szCs w:val="22"/>
                <w:lang w:val="ru-RU"/>
              </w:rPr>
              <w:t>реализирането</w:t>
            </w:r>
            <w:proofErr w:type="spellEnd"/>
            <w:r w:rsidRPr="00105F4F">
              <w:rPr>
                <w:rFonts w:eastAsia="Calibri"/>
                <w:sz w:val="22"/>
                <w:szCs w:val="22"/>
                <w:lang w:val="ru-RU"/>
              </w:rPr>
              <w:t xml:space="preserve"> на </w:t>
            </w:r>
            <w:proofErr w:type="spellStart"/>
            <w:r w:rsidRPr="00105F4F">
              <w:rPr>
                <w:rFonts w:eastAsia="Calibri"/>
                <w:sz w:val="22"/>
                <w:szCs w:val="22"/>
                <w:lang w:val="ru-RU"/>
              </w:rPr>
              <w:t>други</w:t>
            </w:r>
            <w:proofErr w:type="spellEnd"/>
            <w:r w:rsidRPr="00105F4F">
              <w:rPr>
                <w:rFonts w:eastAsia="Calibri"/>
                <w:sz w:val="22"/>
                <w:szCs w:val="22"/>
                <w:lang w:val="ru-RU"/>
              </w:rPr>
              <w:t xml:space="preserve"> </w:t>
            </w:r>
            <w:proofErr w:type="spellStart"/>
            <w:r w:rsidRPr="00105F4F">
              <w:rPr>
                <w:rFonts w:eastAsia="Calibri"/>
                <w:sz w:val="22"/>
                <w:szCs w:val="22"/>
                <w:lang w:val="ru-RU"/>
              </w:rPr>
              <w:t>проекти</w:t>
            </w:r>
            <w:proofErr w:type="spellEnd"/>
            <w:r w:rsidRPr="00105F4F">
              <w:rPr>
                <w:rFonts w:eastAsia="Calibri"/>
                <w:sz w:val="22"/>
                <w:szCs w:val="22"/>
                <w:lang w:val="ru-RU"/>
              </w:rPr>
              <w:t xml:space="preserve">, </w:t>
            </w:r>
            <w:proofErr w:type="spellStart"/>
            <w:r w:rsidRPr="00105F4F">
              <w:rPr>
                <w:rFonts w:eastAsia="Calibri"/>
                <w:sz w:val="22"/>
                <w:szCs w:val="22"/>
                <w:lang w:val="ru-RU"/>
              </w:rPr>
              <w:t>финансирани</w:t>
            </w:r>
            <w:proofErr w:type="spellEnd"/>
            <w:r w:rsidRPr="00105F4F">
              <w:rPr>
                <w:rFonts w:eastAsia="Calibri"/>
                <w:sz w:val="22"/>
                <w:szCs w:val="22"/>
                <w:lang w:val="ru-RU"/>
              </w:rPr>
              <w:t xml:space="preserve"> по </w:t>
            </w:r>
            <w:proofErr w:type="spellStart"/>
            <w:r w:rsidRPr="00105F4F">
              <w:rPr>
                <w:rFonts w:eastAsia="Calibri"/>
                <w:sz w:val="22"/>
                <w:szCs w:val="22"/>
                <w:lang w:val="ru-RU"/>
              </w:rPr>
              <w:t>Стратегията</w:t>
            </w:r>
            <w:proofErr w:type="spellEnd"/>
            <w:r w:rsidRPr="00105F4F">
              <w:rPr>
                <w:rFonts w:eastAsia="Calibri"/>
                <w:sz w:val="22"/>
                <w:szCs w:val="22"/>
                <w:lang w:val="ru-RU"/>
              </w:rPr>
              <w:t xml:space="preserve"> за </w:t>
            </w:r>
            <w:proofErr w:type="spellStart"/>
            <w:r w:rsidRPr="00105F4F">
              <w:rPr>
                <w:rFonts w:eastAsia="Calibri"/>
                <w:sz w:val="22"/>
                <w:szCs w:val="22"/>
                <w:lang w:val="ru-RU"/>
              </w:rPr>
              <w:t>местно</w:t>
            </w:r>
            <w:proofErr w:type="spellEnd"/>
            <w:r w:rsidRPr="00105F4F">
              <w:rPr>
                <w:rFonts w:eastAsia="Calibri"/>
                <w:sz w:val="22"/>
                <w:szCs w:val="22"/>
                <w:lang w:val="ru-RU"/>
              </w:rPr>
              <w:t xml:space="preserve"> развитие</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DB1455">
            <w:pPr>
              <w:autoSpaceDE w:val="0"/>
              <w:autoSpaceDN w:val="0"/>
              <w:adjustRightInd w:val="0"/>
              <w:jc w:val="center"/>
              <w:rPr>
                <w:rFonts w:eastAsia="Calibri"/>
                <w:sz w:val="22"/>
                <w:szCs w:val="22"/>
              </w:rPr>
            </w:pPr>
            <w:r>
              <w:rPr>
                <w:rFonts w:eastAsia="Calibri"/>
                <w:sz w:val="22"/>
                <w:szCs w:val="22"/>
              </w:rPr>
              <w:t>2</w:t>
            </w:r>
          </w:p>
        </w:tc>
      </w:tr>
      <w:tr w:rsidR="00A737D8" w:rsidRPr="00DD2123" w:rsidTr="003053FB">
        <w:trPr>
          <w:trHeight w:val="1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осигуряват</w:t>
            </w:r>
            <w:proofErr w:type="spellEnd"/>
            <w:r w:rsidRPr="00105F4F">
              <w:rPr>
                <w:rFonts w:eastAsia="Calibri"/>
                <w:sz w:val="22"/>
                <w:szCs w:val="22"/>
                <w:lang w:val="ru-RU"/>
              </w:rPr>
              <w:t xml:space="preserve">  </w:t>
            </w:r>
            <w:proofErr w:type="spellStart"/>
            <w:r w:rsidRPr="00105F4F">
              <w:rPr>
                <w:rFonts w:eastAsia="Calibri"/>
                <w:sz w:val="22"/>
                <w:szCs w:val="22"/>
                <w:lang w:val="ru-RU"/>
              </w:rPr>
              <w:t>механизми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обществено</w:t>
            </w:r>
            <w:proofErr w:type="spellEnd"/>
            <w:r w:rsidRPr="00105F4F">
              <w:rPr>
                <w:rFonts w:eastAsia="Calibri"/>
                <w:sz w:val="22"/>
                <w:szCs w:val="22"/>
                <w:lang w:val="ru-RU"/>
              </w:rPr>
              <w:t xml:space="preserve"> </w:t>
            </w:r>
            <w:proofErr w:type="spellStart"/>
            <w:r w:rsidRPr="00105F4F">
              <w:rPr>
                <w:rFonts w:eastAsia="Calibri"/>
                <w:sz w:val="22"/>
                <w:szCs w:val="22"/>
                <w:lang w:val="ru-RU"/>
              </w:rPr>
              <w:t>включване</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DB1455">
            <w:pPr>
              <w:autoSpaceDE w:val="0"/>
              <w:autoSpaceDN w:val="0"/>
              <w:adjustRightInd w:val="0"/>
              <w:jc w:val="center"/>
              <w:rPr>
                <w:rFonts w:eastAsia="Calibri"/>
                <w:sz w:val="22"/>
                <w:szCs w:val="22"/>
              </w:rPr>
            </w:pPr>
            <w:r>
              <w:rPr>
                <w:rFonts w:eastAsia="Calibri"/>
                <w:sz w:val="22"/>
                <w:szCs w:val="22"/>
              </w:rPr>
              <w:t>3</w:t>
            </w:r>
          </w:p>
        </w:tc>
      </w:tr>
    </w:tbl>
    <w:p w:rsidR="00D117C5" w:rsidRPr="00D117C5" w:rsidRDefault="006A32E0" w:rsidP="00D117C5">
      <w:pPr>
        <w:pBdr>
          <w:top w:val="single" w:sz="4" w:space="1" w:color="auto"/>
          <w:left w:val="single" w:sz="4" w:space="4" w:color="auto"/>
          <w:bottom w:val="single" w:sz="4" w:space="1" w:color="auto"/>
          <w:right w:val="single" w:sz="4" w:space="4" w:color="auto"/>
        </w:pBdr>
        <w:rPr>
          <w:sz w:val="24"/>
          <w:szCs w:val="24"/>
        </w:rPr>
      </w:pPr>
      <w:bookmarkStart w:id="11" w:name="_Toc479577157"/>
      <w:bookmarkStart w:id="12" w:name="_Toc508719509"/>
      <w:r w:rsidRPr="00822BF6">
        <w:rPr>
          <w:sz w:val="24"/>
          <w:szCs w:val="24"/>
        </w:rPr>
        <w:lastRenderedPageBreak/>
        <w:t>Таблицата по-горе включва индикатори на ниво СВОМР.</w:t>
      </w:r>
      <w:r w:rsidR="00DC0BCA" w:rsidRPr="00822BF6">
        <w:rPr>
          <w:sz w:val="24"/>
          <w:szCs w:val="24"/>
        </w:rPr>
        <w:t xml:space="preserve"> </w:t>
      </w:r>
      <w:r w:rsidR="00D117C5" w:rsidRPr="00822BF6">
        <w:rPr>
          <w:sz w:val="24"/>
          <w:szCs w:val="24"/>
        </w:rPr>
        <w:t xml:space="preserve">Всеки кандидат трябва да включи в секция 8 във Формуляра за кандидатстване </w:t>
      </w:r>
      <w:r w:rsidR="00DC0BCA" w:rsidRPr="00822BF6">
        <w:rPr>
          <w:sz w:val="24"/>
          <w:szCs w:val="24"/>
        </w:rPr>
        <w:t xml:space="preserve">съответните </w:t>
      </w:r>
      <w:r w:rsidR="00D117C5" w:rsidRPr="00822BF6">
        <w:rPr>
          <w:sz w:val="24"/>
          <w:szCs w:val="24"/>
        </w:rPr>
        <w:t>индикатори</w:t>
      </w:r>
      <w:r w:rsidR="00DC0BCA" w:rsidRPr="00822BF6">
        <w:t xml:space="preserve"> </w:t>
      </w:r>
      <w:r w:rsidR="00DC0BCA" w:rsidRPr="00822BF6">
        <w:rPr>
          <w:sz w:val="24"/>
          <w:szCs w:val="24"/>
        </w:rPr>
        <w:t>и съответната целева</w:t>
      </w:r>
      <w:r w:rsidR="00A40180" w:rsidRPr="00822BF6">
        <w:rPr>
          <w:sz w:val="24"/>
          <w:szCs w:val="24"/>
        </w:rPr>
        <w:t xml:space="preserve"> стойност</w:t>
      </w:r>
      <w:r w:rsidR="00D117C5" w:rsidRPr="00822BF6">
        <w:rPr>
          <w:sz w:val="24"/>
          <w:szCs w:val="24"/>
        </w:rPr>
        <w:t xml:space="preserve">, </w:t>
      </w:r>
      <w:r w:rsidR="00DC0BCA" w:rsidRPr="00822BF6">
        <w:rPr>
          <w:sz w:val="24"/>
          <w:szCs w:val="24"/>
        </w:rPr>
        <w:t>която</w:t>
      </w:r>
      <w:r w:rsidR="00DC0BCA" w:rsidRPr="00D117C5">
        <w:rPr>
          <w:sz w:val="24"/>
          <w:szCs w:val="24"/>
        </w:rPr>
        <w:t xml:space="preserve"> </w:t>
      </w:r>
      <w:r w:rsidR="00D117C5" w:rsidRPr="00D117C5">
        <w:rPr>
          <w:sz w:val="24"/>
          <w:szCs w:val="24"/>
        </w:rPr>
        <w:t>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3" w:name="_Toc506612371"/>
    </w:p>
    <w:bookmarkEnd w:id="13"/>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 финансова помощ по процедурата:</w:t>
      </w:r>
      <w:bookmarkEnd w:id="11"/>
      <w:bookmarkEnd w:id="12"/>
    </w:p>
    <w:p w:rsidR="00361A39" w:rsidRPr="00F701ED" w:rsidRDefault="00361A39" w:rsidP="0040181C">
      <w:pPr>
        <w:tabs>
          <w:tab w:val="left" w:pos="0"/>
        </w:tabs>
        <w:rPr>
          <w:vanish/>
        </w:rPr>
      </w:pPr>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F34779">
        <w:trPr>
          <w:trHeight w:hRule="exact" w:val="1155"/>
        </w:trPr>
        <w:tc>
          <w:tcPr>
            <w:tcW w:w="2931" w:type="dxa"/>
            <w:shd w:val="clear" w:color="auto" w:fill="BEBEBE"/>
          </w:tcPr>
          <w:p w:rsidR="00361A39" w:rsidRPr="008C553A" w:rsidRDefault="00361A39" w:rsidP="0040181C">
            <w:pPr>
              <w:pStyle w:val="TableParagraph"/>
              <w:tabs>
                <w:tab w:val="left" w:pos="0"/>
              </w:tabs>
              <w:spacing w:line="23" w:lineRule="atLeast"/>
              <w:ind w:left="511" w:right="508"/>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Общ</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размер</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на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безвъзмездната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финансова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помощ</w:t>
            </w:r>
            <w:proofErr w:type="spellEnd"/>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proofErr w:type="spellStart"/>
            <w:r w:rsidRPr="008C553A">
              <w:rPr>
                <w:rFonts w:ascii="Times New Roman" w:hAnsi="Times New Roman" w:cs="Times New Roman"/>
                <w:sz w:val="24"/>
                <w:szCs w:val="24"/>
              </w:rPr>
              <w:t>Финансиране</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от</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Европейския</w:t>
            </w:r>
            <w:proofErr w:type="spellEnd"/>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за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регионално</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Национално</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съфинансиране</w:t>
            </w:r>
            <w:proofErr w:type="spellEnd"/>
          </w:p>
        </w:tc>
      </w:tr>
      <w:tr w:rsidR="00361A39" w:rsidRPr="00E56B42" w:rsidTr="00F34779">
        <w:trPr>
          <w:trHeight w:hRule="exact" w:val="563"/>
        </w:trPr>
        <w:tc>
          <w:tcPr>
            <w:tcW w:w="2931" w:type="dxa"/>
            <w:shd w:val="clear" w:color="auto" w:fill="FFFFFF"/>
            <w:vAlign w:val="center"/>
          </w:tcPr>
          <w:p w:rsidR="00575425" w:rsidRPr="00AE6C85" w:rsidRDefault="00575425" w:rsidP="007D0351">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7D0351">
              <w:rPr>
                <w:rFonts w:ascii="Times New Roman" w:hAnsi="Times New Roman" w:cs="Times New Roman"/>
                <w:sz w:val="24"/>
                <w:szCs w:val="24"/>
                <w:lang w:val="bg-BG"/>
              </w:rPr>
              <w:t>  44</w:t>
            </w:r>
            <w:r w:rsidR="00870B98">
              <w:rPr>
                <w:rFonts w:ascii="Times New Roman" w:hAnsi="Times New Roman" w:cs="Times New Roman"/>
                <w:sz w:val="24"/>
                <w:szCs w:val="24"/>
                <w:lang w:val="bg-BG"/>
              </w:rPr>
              <w:t xml:space="preserve"> </w:t>
            </w:r>
            <w:r w:rsidR="007D0351">
              <w:rPr>
                <w:rFonts w:ascii="Times New Roman" w:hAnsi="Times New Roman" w:cs="Times New Roman"/>
                <w:sz w:val="24"/>
                <w:szCs w:val="24"/>
                <w:lang w:val="bg-BG"/>
              </w:rPr>
              <w:t>726,63</w:t>
            </w:r>
            <w:r w:rsidRPr="00AE6C85">
              <w:rPr>
                <w:rFonts w:ascii="Times New Roman" w:hAnsi="Times New Roman" w:cs="Times New Roman"/>
                <w:sz w:val="24"/>
                <w:szCs w:val="24"/>
                <w:lang w:val="bg-BG"/>
              </w:rPr>
              <w:t xml:space="preserve"> 100%</w:t>
            </w:r>
          </w:p>
        </w:tc>
        <w:tc>
          <w:tcPr>
            <w:tcW w:w="3732" w:type="dxa"/>
            <w:shd w:val="clear" w:color="auto" w:fill="FFFFFF"/>
            <w:vAlign w:val="center"/>
          </w:tcPr>
          <w:p w:rsidR="00361A39" w:rsidRPr="00AE6C85" w:rsidRDefault="007D0351"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Pr>
                <w:rFonts w:ascii="Times New Roman" w:hAnsi="Times New Roman" w:cs="Times New Roman"/>
                <w:sz w:val="24"/>
                <w:szCs w:val="24"/>
                <w:lang w:val="bg-BG"/>
              </w:rPr>
              <w:t>40</w:t>
            </w:r>
            <w:r w:rsidR="00870B98">
              <w:rPr>
                <w:rFonts w:ascii="Times New Roman" w:hAnsi="Times New Roman" w:cs="Times New Roman"/>
                <w:sz w:val="24"/>
                <w:szCs w:val="24"/>
                <w:lang w:val="bg-BG"/>
              </w:rPr>
              <w:t xml:space="preserve"> </w:t>
            </w:r>
            <w:r>
              <w:rPr>
                <w:rFonts w:ascii="Times New Roman" w:hAnsi="Times New Roman" w:cs="Times New Roman"/>
                <w:sz w:val="24"/>
                <w:szCs w:val="24"/>
                <w:lang w:val="bg-BG"/>
              </w:rPr>
              <w:t>253,97</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575425" w:rsidRPr="00AE6C85" w:rsidRDefault="007D0351" w:rsidP="0040181C">
            <w:pPr>
              <w:pStyle w:val="TableParagraph"/>
              <w:tabs>
                <w:tab w:val="left" w:pos="0"/>
              </w:tabs>
              <w:spacing w:line="23" w:lineRule="atLeast"/>
              <w:ind w:right="681"/>
              <w:jc w:val="center"/>
              <w:rPr>
                <w:rFonts w:ascii="Times New Roman" w:hAnsi="Times New Roman" w:cs="Times New Roman"/>
                <w:sz w:val="24"/>
                <w:szCs w:val="24"/>
                <w:lang w:val="bg-BG"/>
              </w:rPr>
            </w:pPr>
            <w:r>
              <w:rPr>
                <w:rFonts w:ascii="Times New Roman" w:hAnsi="Times New Roman" w:cs="Times New Roman"/>
                <w:sz w:val="24"/>
                <w:szCs w:val="24"/>
                <w:lang w:val="bg-BG"/>
              </w:rPr>
              <w:t>  4</w:t>
            </w:r>
            <w:r w:rsidR="00870B98">
              <w:rPr>
                <w:rFonts w:ascii="Times New Roman" w:hAnsi="Times New Roman" w:cs="Times New Roman"/>
                <w:sz w:val="24"/>
                <w:szCs w:val="24"/>
                <w:lang w:val="bg-BG"/>
              </w:rPr>
              <w:t xml:space="preserve"> </w:t>
            </w:r>
            <w:r>
              <w:rPr>
                <w:rFonts w:ascii="Times New Roman" w:hAnsi="Times New Roman" w:cs="Times New Roman"/>
                <w:sz w:val="24"/>
                <w:szCs w:val="24"/>
                <w:lang w:val="bg-BG"/>
              </w:rPr>
              <w:t>472,66</w:t>
            </w: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bl>
    <w:p w:rsidR="00F2672E" w:rsidRPr="00361A39" w:rsidRDefault="0040181C" w:rsidP="0040181C">
      <w:pPr>
        <w:pStyle w:val="1"/>
        <w:numPr>
          <w:ilvl w:val="0"/>
          <w:numId w:val="0"/>
        </w:numPr>
        <w:tabs>
          <w:tab w:val="left" w:pos="0"/>
        </w:tabs>
        <w:jc w:val="both"/>
        <w:rPr>
          <w:rFonts w:ascii="Times New Roman" w:hAnsi="Times New Roman" w:cs="Times New Roman"/>
          <w:color w:val="000000" w:themeColor="text1"/>
          <w:sz w:val="24"/>
          <w:szCs w:val="24"/>
        </w:rPr>
      </w:pPr>
      <w:bookmarkStart w:id="14" w:name="_Toc479577158"/>
      <w:bookmarkStart w:id="15" w:name="_Toc508719510"/>
      <w:r>
        <w:rPr>
          <w:rFonts w:ascii="Times New Roman" w:hAnsi="Times New Roman" w:cs="Times New Roman"/>
          <w:color w:val="000000" w:themeColor="text1"/>
          <w:sz w:val="24"/>
          <w:szCs w:val="24"/>
        </w:rPr>
        <w:t>9.</w:t>
      </w:r>
      <w:r w:rsidR="00F2672E" w:rsidRPr="00361A39">
        <w:rPr>
          <w:rFonts w:ascii="Times New Roman" w:hAnsi="Times New Roman" w:cs="Times New Roman"/>
          <w:color w:val="000000" w:themeColor="text1"/>
          <w:sz w:val="24"/>
          <w:szCs w:val="24"/>
        </w:rPr>
        <w:t>Минимален (ако е приложимо) и максимален размер на безвъзмездната финансова помощ за конкретен проект:</w:t>
      </w:r>
      <w:bookmarkEnd w:id="14"/>
      <w:bookmarkEnd w:id="15"/>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000F1D5A">
              <w:rPr>
                <w:sz w:val="24"/>
                <w:szCs w:val="24"/>
              </w:rPr>
              <w:t>мярка е 1</w:t>
            </w:r>
            <w:r w:rsidRPr="00DE7579">
              <w:rPr>
                <w:sz w:val="24"/>
                <w:szCs w:val="24"/>
              </w:rPr>
              <w:t xml:space="preserve">0 000 лева </w:t>
            </w:r>
          </w:p>
          <w:p w:rsidR="00E620CB" w:rsidRPr="00DE7579" w:rsidRDefault="00E620CB"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000F1D5A">
              <w:rPr>
                <w:sz w:val="24"/>
                <w:szCs w:val="24"/>
              </w:rPr>
              <w:t>мярка е 1</w:t>
            </w:r>
            <w:r w:rsidRPr="00DE7579">
              <w:rPr>
                <w:sz w:val="24"/>
                <w:szCs w:val="24"/>
              </w:rPr>
              <w:t>00 000 лева</w:t>
            </w:r>
          </w:p>
          <w:p w:rsidR="00504E07" w:rsidRDefault="00504E07"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p>
          <w:p w:rsidR="001E00B9" w:rsidRPr="00822BF6" w:rsidRDefault="00BA68E6"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b/>
                <w:sz w:val="24"/>
                <w:szCs w:val="24"/>
              </w:rPr>
            </w:pPr>
            <w:r w:rsidRPr="00822BF6">
              <w:rPr>
                <w:b/>
                <w:sz w:val="24"/>
                <w:szCs w:val="24"/>
              </w:rPr>
              <w:t>Предвид</w:t>
            </w:r>
            <w:r w:rsidR="001E00B9" w:rsidRPr="00822BF6">
              <w:rPr>
                <w:b/>
                <w:sz w:val="24"/>
                <w:szCs w:val="24"/>
              </w:rPr>
              <w:t xml:space="preserve"> определения по настоящата процедура режим на „непомощ“, ще се подкрепят само проекти за неикономически дейности, които след извършване на </w:t>
            </w:r>
            <w:r w:rsidR="00EB162B" w:rsidRPr="00822BF6">
              <w:rPr>
                <w:b/>
                <w:sz w:val="24"/>
                <w:szCs w:val="24"/>
              </w:rPr>
              <w:t>инвестицията не генерират нетни приходи</w:t>
            </w:r>
            <w:r w:rsidR="00822BF6">
              <w:rPr>
                <w:b/>
                <w:sz w:val="24"/>
                <w:szCs w:val="24"/>
              </w:rPr>
              <w:t>!</w:t>
            </w:r>
          </w:p>
          <w:p w:rsidR="00CB3E1B" w:rsidRDefault="00EB162B" w:rsidP="00C132A0">
            <w:pPr>
              <w:pStyle w:val="a4"/>
              <w:pBdr>
                <w:top w:val="single" w:sz="4" w:space="1" w:color="auto"/>
                <w:left w:val="single" w:sz="4" w:space="4" w:color="auto"/>
                <w:bottom w:val="single" w:sz="4" w:space="1" w:color="auto"/>
                <w:right w:val="single" w:sz="4" w:space="4" w:color="auto"/>
              </w:pBdr>
              <w:tabs>
                <w:tab w:val="left" w:pos="3255"/>
              </w:tabs>
              <w:spacing w:after="160" w:line="259" w:lineRule="auto"/>
              <w:ind w:left="29" w:right="176"/>
              <w:jc w:val="both"/>
              <w:rPr>
                <w:sz w:val="24"/>
                <w:szCs w:val="24"/>
              </w:rPr>
            </w:pPr>
            <w:r>
              <w:rPr>
                <w:sz w:val="24"/>
                <w:szCs w:val="24"/>
              </w:rPr>
              <w:t>С оглед на това:</w:t>
            </w:r>
            <w:r w:rsidR="00C132A0">
              <w:rPr>
                <w:sz w:val="24"/>
                <w:szCs w:val="24"/>
              </w:rPr>
              <w:tab/>
            </w:r>
          </w:p>
          <w:p w:rsidR="00C4513E" w:rsidRDefault="00EB162B" w:rsidP="00EB162B">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Pr>
                <w:sz w:val="24"/>
                <w:szCs w:val="24"/>
              </w:rPr>
              <w:t xml:space="preserve">Безвъзмездната финансова помощ е в размер на 100% от общия размер на допустимите за финансово подпомагане разходи за проекти, които след извършване на инвестицията  не генерират нетни приходи, </w:t>
            </w:r>
            <w:r w:rsidR="00C4513E">
              <w:rPr>
                <w:sz w:val="24"/>
                <w:szCs w:val="24"/>
              </w:rPr>
              <w:t xml:space="preserve">но не повече от остатъчния бюджет по мярка </w:t>
            </w:r>
            <w:r w:rsidR="00C4513E" w:rsidRPr="00C4513E">
              <w:rPr>
                <w:sz w:val="24"/>
                <w:szCs w:val="24"/>
              </w:rPr>
              <w:t xml:space="preserve">М7.5. </w:t>
            </w:r>
            <w:r w:rsidR="00C4513E">
              <w:rPr>
                <w:sz w:val="24"/>
                <w:szCs w:val="24"/>
              </w:rPr>
              <w:t>„</w:t>
            </w:r>
            <w:r w:rsidR="00C4513E" w:rsidRPr="00C4513E">
              <w:rPr>
                <w:sz w:val="24"/>
                <w:szCs w:val="24"/>
              </w:rPr>
              <w:t>Инвестиции за публично ползване в инфраструктура за отдих, туристическа инфраструктура</w:t>
            </w:r>
            <w:r w:rsidR="00C4513E">
              <w:rPr>
                <w:sz w:val="24"/>
                <w:szCs w:val="24"/>
              </w:rPr>
              <w:t>“ от СВОМР на МИГ</w:t>
            </w:r>
            <w:r w:rsidR="0029450B">
              <w:rPr>
                <w:sz w:val="24"/>
                <w:szCs w:val="24"/>
              </w:rPr>
              <w:t>.</w:t>
            </w:r>
          </w:p>
          <w:p w:rsidR="00EB162B" w:rsidRDefault="00C4513E" w:rsidP="00EB162B">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Pr>
                <w:sz w:val="24"/>
                <w:szCs w:val="24"/>
              </w:rPr>
              <w:t>Възможността проектът след извършване на инвестицията да</w:t>
            </w:r>
            <w:r w:rsidR="00132A5E">
              <w:rPr>
                <w:sz w:val="24"/>
                <w:szCs w:val="24"/>
              </w:rPr>
              <w:t xml:space="preserve"> не</w:t>
            </w:r>
            <w:r>
              <w:rPr>
                <w:sz w:val="24"/>
                <w:szCs w:val="24"/>
              </w:rPr>
              <w:t xml:space="preserve"> генерира приходи се установява </w:t>
            </w:r>
            <w:r w:rsidR="00EB162B">
              <w:rPr>
                <w:sz w:val="24"/>
                <w:szCs w:val="24"/>
              </w:rPr>
              <w:t xml:space="preserve">въз основа на анализ „разходи-ползи“ </w:t>
            </w:r>
            <w:r w:rsidR="00EB162B">
              <w:rPr>
                <w:sz w:val="24"/>
                <w:szCs w:val="24"/>
                <w:lang w:val="en-US"/>
              </w:rPr>
              <w:t>(</w:t>
            </w:r>
            <w:r w:rsidR="00EB162B">
              <w:rPr>
                <w:sz w:val="24"/>
                <w:szCs w:val="24"/>
              </w:rPr>
              <w:t>финансов анализ</w:t>
            </w:r>
            <w:r w:rsidR="00EB162B">
              <w:rPr>
                <w:sz w:val="24"/>
                <w:szCs w:val="24"/>
                <w:lang w:val="en-US"/>
              </w:rPr>
              <w:t>)</w:t>
            </w:r>
            <w:r w:rsidR="00EB162B">
              <w:rPr>
                <w:sz w:val="24"/>
                <w:szCs w:val="24"/>
              </w:rPr>
              <w:t>, изготвен по образец, утвърден от изпълнителния директор на ДФЗ.</w:t>
            </w:r>
          </w:p>
          <w:p w:rsidR="008B74A2" w:rsidRDefault="008B74A2" w:rsidP="008B74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29" w:right="176"/>
              <w:contextualSpacing/>
              <w:jc w:val="left"/>
              <w:rPr>
                <w:color w:val="000000"/>
                <w:sz w:val="24"/>
                <w:szCs w:val="24"/>
              </w:rPr>
            </w:pPr>
            <w:r>
              <w:rPr>
                <w:color w:val="000000"/>
                <w:sz w:val="24"/>
                <w:szCs w:val="24"/>
              </w:rPr>
              <w:t>Предвид горното минималният</w:t>
            </w:r>
            <w:r w:rsidRPr="008B74A2">
              <w:rPr>
                <w:color w:val="000000"/>
                <w:sz w:val="24"/>
                <w:szCs w:val="24"/>
              </w:rPr>
              <w:t xml:space="preserve"> и максимал</w:t>
            </w:r>
            <w:r>
              <w:rPr>
                <w:color w:val="000000"/>
                <w:sz w:val="24"/>
                <w:szCs w:val="24"/>
              </w:rPr>
              <w:t>ният</w:t>
            </w:r>
            <w:r w:rsidRPr="008B74A2">
              <w:rPr>
                <w:color w:val="000000"/>
                <w:sz w:val="24"/>
                <w:szCs w:val="24"/>
              </w:rPr>
              <w:t xml:space="preserve"> размер на безвъзмездната финансова помощ за конкретен проект</w:t>
            </w:r>
            <w:r>
              <w:rPr>
                <w:color w:val="000000"/>
                <w:sz w:val="24"/>
                <w:szCs w:val="24"/>
              </w:rPr>
              <w:t xml:space="preserve"> са</w:t>
            </w:r>
            <w:r w:rsidR="007F0265">
              <w:rPr>
                <w:color w:val="000000"/>
                <w:sz w:val="24"/>
                <w:szCs w:val="24"/>
              </w:rPr>
              <w:t xml:space="preserve">, </w:t>
            </w:r>
            <w:r>
              <w:rPr>
                <w:color w:val="000000"/>
                <w:sz w:val="24"/>
                <w:szCs w:val="24"/>
              </w:rPr>
              <w:t>както следва:</w:t>
            </w:r>
          </w:p>
          <w:p w:rsidR="008B74A2" w:rsidRPr="008B74A2" w:rsidRDefault="008B74A2" w:rsidP="008B74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29" w:right="176"/>
              <w:contextualSpacing/>
              <w:jc w:val="left"/>
              <w:rPr>
                <w:color w:val="000000"/>
                <w:sz w:val="24"/>
                <w:szCs w:val="24"/>
              </w:rPr>
            </w:pPr>
            <w:r w:rsidRPr="008B74A2">
              <w:rPr>
                <w:color w:val="000000"/>
                <w:sz w:val="24"/>
                <w:szCs w:val="24"/>
              </w:rPr>
              <w:t xml:space="preserve">Минимален размер на БФП </w:t>
            </w:r>
            <w:r w:rsidR="00246F7D">
              <w:rPr>
                <w:color w:val="000000"/>
                <w:sz w:val="24"/>
                <w:szCs w:val="24"/>
              </w:rPr>
              <w:t xml:space="preserve">– </w:t>
            </w:r>
            <w:r>
              <w:rPr>
                <w:color w:val="000000"/>
                <w:sz w:val="24"/>
                <w:szCs w:val="24"/>
              </w:rPr>
              <w:t>1</w:t>
            </w:r>
            <w:r w:rsidRPr="008B74A2">
              <w:rPr>
                <w:color w:val="000000"/>
                <w:sz w:val="24"/>
                <w:szCs w:val="24"/>
              </w:rPr>
              <w:t>0</w:t>
            </w:r>
            <w:r w:rsidR="00246F7D">
              <w:rPr>
                <w:color w:val="000000"/>
                <w:sz w:val="24"/>
                <w:szCs w:val="24"/>
              </w:rPr>
              <w:t xml:space="preserve"> </w:t>
            </w:r>
            <w:r w:rsidRPr="008B74A2">
              <w:rPr>
                <w:color w:val="000000"/>
                <w:sz w:val="24"/>
                <w:szCs w:val="24"/>
              </w:rPr>
              <w:t>000</w:t>
            </w:r>
            <w:r w:rsidR="0029450B">
              <w:rPr>
                <w:color w:val="000000"/>
                <w:sz w:val="24"/>
                <w:szCs w:val="24"/>
              </w:rPr>
              <w:t xml:space="preserve"> </w:t>
            </w:r>
            <w:r w:rsidRPr="008B74A2">
              <w:rPr>
                <w:color w:val="000000"/>
                <w:sz w:val="24"/>
                <w:szCs w:val="24"/>
              </w:rPr>
              <w:t>лв.</w:t>
            </w:r>
          </w:p>
          <w:p w:rsidR="008B74A2" w:rsidRPr="008B74A2" w:rsidRDefault="008B74A2" w:rsidP="00E356A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29" w:right="176"/>
              <w:contextualSpacing/>
              <w:rPr>
                <w:color w:val="000000"/>
                <w:sz w:val="24"/>
                <w:szCs w:val="24"/>
              </w:rPr>
            </w:pPr>
            <w:r w:rsidRPr="008B74A2">
              <w:rPr>
                <w:color w:val="000000"/>
                <w:sz w:val="24"/>
                <w:szCs w:val="24"/>
              </w:rPr>
              <w:lastRenderedPageBreak/>
              <w:t>Максимален размер на БФП -</w:t>
            </w:r>
            <w:r w:rsidR="007D0351">
              <w:rPr>
                <w:color w:val="000000"/>
                <w:sz w:val="24"/>
                <w:szCs w:val="24"/>
              </w:rPr>
              <w:t> </w:t>
            </w:r>
            <w:r w:rsidR="00D2215D" w:rsidRPr="00246F7D">
              <w:rPr>
                <w:sz w:val="24"/>
                <w:szCs w:val="24"/>
              </w:rPr>
              <w:t>100 0</w:t>
            </w:r>
            <w:r w:rsidR="00246F7D" w:rsidRPr="00246F7D">
              <w:rPr>
                <w:sz w:val="24"/>
                <w:szCs w:val="24"/>
              </w:rPr>
              <w:t>0</w:t>
            </w:r>
            <w:r w:rsidR="00D2215D" w:rsidRPr="00246F7D">
              <w:rPr>
                <w:sz w:val="24"/>
                <w:szCs w:val="24"/>
              </w:rPr>
              <w:t>0 лв., но не повече от</w:t>
            </w:r>
            <w:r w:rsidR="00D2215D">
              <w:t xml:space="preserve"> </w:t>
            </w:r>
            <w:r w:rsidR="00D2215D" w:rsidRPr="00D2215D">
              <w:rPr>
                <w:color w:val="000000"/>
                <w:sz w:val="24"/>
                <w:szCs w:val="24"/>
              </w:rPr>
              <w:t>остатъчния бюджет по мярка М7.5. „Инвестиции за публично ползване в инфраструктура за отдих, туристическа инфраструктура“ от СВОМР на МИГ</w:t>
            </w:r>
            <w:r w:rsidR="007F0265">
              <w:rPr>
                <w:color w:val="000000"/>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16" w:name="_Toc479577159"/>
      <w:bookmarkStart w:id="17"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 xml:space="preserve">Процент на </w:t>
      </w:r>
      <w:proofErr w:type="spellStart"/>
      <w:r w:rsidR="00F2672E" w:rsidRPr="002B6D95">
        <w:rPr>
          <w:rFonts w:ascii="Times New Roman" w:hAnsi="Times New Roman" w:cs="Times New Roman"/>
          <w:color w:val="000000" w:themeColor="text1"/>
          <w:sz w:val="24"/>
          <w:szCs w:val="24"/>
        </w:rPr>
        <w:t>съфинансиране</w:t>
      </w:r>
      <w:bookmarkEnd w:id="16"/>
      <w:bookmarkEnd w:id="17"/>
      <w:proofErr w:type="spellEnd"/>
    </w:p>
    <w:p w:rsidR="00B96E76" w:rsidRPr="00B96E76" w:rsidRDefault="002B614D" w:rsidP="00AE6C85">
      <w:pPr>
        <w:pBdr>
          <w:top w:val="single" w:sz="4" w:space="1" w:color="auto"/>
          <w:left w:val="single" w:sz="4" w:space="4" w:color="auto"/>
          <w:bottom w:val="single" w:sz="4" w:space="1" w:color="auto"/>
          <w:right w:val="single" w:sz="4" w:space="4" w:color="auto"/>
        </w:pBdr>
        <w:rPr>
          <w:sz w:val="24"/>
          <w:szCs w:val="24"/>
        </w:rPr>
      </w:pPr>
      <w:r>
        <w:rPr>
          <w:sz w:val="24"/>
          <w:szCs w:val="24"/>
        </w:rPr>
        <w:t>Максималният интензитет на помощта е в размер на 100% от общата стойност на допустимите разходи</w:t>
      </w:r>
      <w:r w:rsidR="00C4513E">
        <w:rPr>
          <w:sz w:val="24"/>
          <w:szCs w:val="24"/>
        </w:rPr>
        <w:t xml:space="preserve">, като размерът на БФП не може да превишава </w:t>
      </w:r>
      <w:r w:rsidR="00C4513E" w:rsidRPr="00C4513E">
        <w:rPr>
          <w:sz w:val="24"/>
          <w:szCs w:val="24"/>
        </w:rPr>
        <w:t>остатъчния бюджет по мярка М7.5. „Инвестиции за публично ползване в инфраструктура за отдих, туристическа инфраструктура“ от СВОМР на МИГ.</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18" w:name="_Toc479577160"/>
      <w:bookmarkStart w:id="19"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18"/>
      <w:bookmarkEnd w:id="19"/>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r>
            <w:r w:rsidR="00D03420" w:rsidRPr="007B196E">
              <w:rPr>
                <w:sz w:val="24"/>
                <w:szCs w:val="24"/>
              </w:rPr>
              <w:t>община „</w:t>
            </w:r>
            <w:r w:rsidRPr="007B196E">
              <w:rPr>
                <w:sz w:val="24"/>
                <w:szCs w:val="24"/>
              </w:rPr>
              <w:t>Марица</w:t>
            </w:r>
            <w:r w:rsidR="00D03420" w:rsidRPr="007B196E">
              <w:rPr>
                <w:sz w:val="24"/>
                <w:szCs w:val="24"/>
              </w:rPr>
              <w:t>“</w:t>
            </w:r>
            <w:r w:rsidRPr="007B196E">
              <w:rPr>
                <w:sz w:val="24"/>
                <w:szCs w:val="24"/>
              </w:rPr>
              <w:t>;</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w:t>
            </w:r>
          </w:p>
          <w:p w:rsidR="00D82F23" w:rsidRDefault="00D82F23" w:rsidP="00D82F23">
            <w:pPr>
              <w:rPr>
                <w:sz w:val="24"/>
                <w:szCs w:val="24"/>
              </w:rPr>
            </w:pPr>
            <w:r w:rsidRPr="00D82F23">
              <w:rPr>
                <w:sz w:val="24"/>
                <w:szCs w:val="24"/>
              </w:rPr>
              <w:t>•</w:t>
            </w:r>
            <w:r w:rsidRPr="00D82F23">
              <w:rPr>
                <w:sz w:val="24"/>
                <w:szCs w:val="24"/>
              </w:rPr>
              <w:tab/>
              <w:t xml:space="preserve">Читалища </w:t>
            </w:r>
            <w:r w:rsidR="008B7CF8">
              <w:rPr>
                <w:sz w:val="24"/>
                <w:szCs w:val="24"/>
              </w:rPr>
              <w:t>на</w:t>
            </w:r>
            <w:r w:rsidRPr="00D82F23">
              <w:rPr>
                <w:sz w:val="24"/>
                <w:szCs w:val="24"/>
              </w:rPr>
              <w:t xml:space="preserve"> територията на </w:t>
            </w:r>
            <w:r w:rsidR="008B7CF8">
              <w:rPr>
                <w:sz w:val="24"/>
                <w:szCs w:val="24"/>
              </w:rPr>
              <w:t xml:space="preserve">община </w:t>
            </w:r>
            <w:r w:rsidR="00D03420">
              <w:rPr>
                <w:sz w:val="24"/>
                <w:szCs w:val="24"/>
              </w:rPr>
              <w:t>„</w:t>
            </w:r>
            <w:r w:rsidR="008B7CF8">
              <w:rPr>
                <w:sz w:val="24"/>
                <w:szCs w:val="24"/>
              </w:rPr>
              <w:t>Марица</w:t>
            </w:r>
            <w:r w:rsidR="00D03420">
              <w:rPr>
                <w:sz w:val="24"/>
                <w:szCs w:val="24"/>
              </w:rPr>
              <w:t>“</w:t>
            </w:r>
            <w:r w:rsidRPr="00D82F23">
              <w:rPr>
                <w:sz w:val="24"/>
                <w:szCs w:val="24"/>
              </w:rPr>
              <w:t>;</w:t>
            </w:r>
          </w:p>
          <w:p w:rsidR="008779F2" w:rsidRDefault="008779F2" w:rsidP="00D82F23">
            <w:pPr>
              <w:rPr>
                <w:sz w:val="24"/>
                <w:szCs w:val="24"/>
              </w:rPr>
            </w:pPr>
          </w:p>
          <w:p w:rsidR="003309C0" w:rsidRDefault="008779F2" w:rsidP="008779F2">
            <w:pPr>
              <w:widowControl w:val="0"/>
              <w:autoSpaceDE w:val="0"/>
              <w:autoSpaceDN w:val="0"/>
              <w:adjustRightInd w:val="0"/>
              <w:spacing w:line="240" w:lineRule="auto"/>
              <w:rPr>
                <w:sz w:val="24"/>
                <w:szCs w:val="24"/>
              </w:rPr>
            </w:pPr>
            <w:r w:rsidRPr="008779F2">
              <w:rPr>
                <w:sz w:val="24"/>
                <w:szCs w:val="24"/>
              </w:rPr>
              <w:t xml:space="preserve">Кандидатите </w:t>
            </w:r>
            <w:r>
              <w:rPr>
                <w:sz w:val="24"/>
                <w:szCs w:val="24"/>
              </w:rPr>
              <w:t xml:space="preserve">ЮЛНЦ и читалища </w:t>
            </w:r>
            <w:r w:rsidRPr="008779F2">
              <w:rPr>
                <w:sz w:val="24"/>
                <w:szCs w:val="24"/>
              </w:rPr>
              <w:t>следва да  имат седалище и адрес на управление на територията на действие на МИГ</w:t>
            </w:r>
            <w:r>
              <w:rPr>
                <w:sz w:val="24"/>
                <w:szCs w:val="24"/>
              </w:rPr>
              <w:t>.</w:t>
            </w:r>
            <w:r w:rsidRPr="008779F2">
              <w:rPr>
                <w:sz w:val="24"/>
                <w:szCs w:val="24"/>
              </w:rPr>
              <w:t xml:space="preserve"> </w:t>
            </w:r>
          </w:p>
          <w:p w:rsidR="00320FD0" w:rsidRDefault="00320FD0" w:rsidP="008779F2">
            <w:pPr>
              <w:widowControl w:val="0"/>
              <w:autoSpaceDE w:val="0"/>
              <w:autoSpaceDN w:val="0"/>
              <w:adjustRightInd w:val="0"/>
              <w:spacing w:line="240" w:lineRule="auto"/>
              <w:rPr>
                <w:sz w:val="24"/>
                <w:szCs w:val="24"/>
              </w:rPr>
            </w:pPr>
          </w:p>
          <w:p w:rsidR="00C47792" w:rsidRDefault="00C47792" w:rsidP="008779F2">
            <w:pPr>
              <w:widowControl w:val="0"/>
              <w:autoSpaceDE w:val="0"/>
              <w:autoSpaceDN w:val="0"/>
              <w:adjustRightInd w:val="0"/>
              <w:spacing w:line="240" w:lineRule="auto"/>
              <w:rPr>
                <w:i/>
                <w:sz w:val="24"/>
                <w:szCs w:val="24"/>
              </w:rPr>
            </w:pPr>
            <w:r w:rsidRPr="00C47792">
              <w:rPr>
                <w:i/>
                <w:sz w:val="24"/>
                <w:szCs w:val="24"/>
              </w:rPr>
              <w:t>*Ако кандидат е клон на юридическо лице</w:t>
            </w:r>
            <w:r>
              <w:rPr>
                <w:i/>
                <w:sz w:val="24"/>
                <w:szCs w:val="24"/>
              </w:rPr>
              <w:t xml:space="preserve"> с нестопанска цел</w:t>
            </w:r>
            <w:r w:rsidRPr="00C47792">
              <w:rPr>
                <w:i/>
                <w:sz w:val="24"/>
                <w:szCs w:val="24"/>
              </w:rPr>
              <w:t xml:space="preserve">, юридическото лице, открило клона, трябва да отговаря на изискванията за седалище и адрес на управление на територията на МИГ – </w:t>
            </w:r>
            <w:r w:rsidR="00D03420">
              <w:rPr>
                <w:i/>
                <w:sz w:val="24"/>
                <w:szCs w:val="24"/>
              </w:rPr>
              <w:t>о</w:t>
            </w:r>
            <w:r w:rsidR="00D03420" w:rsidRPr="00C47792">
              <w:rPr>
                <w:i/>
                <w:sz w:val="24"/>
                <w:szCs w:val="24"/>
              </w:rPr>
              <w:t xml:space="preserve">бщина </w:t>
            </w:r>
            <w:r w:rsidRPr="00C47792">
              <w:rPr>
                <w:i/>
                <w:sz w:val="24"/>
                <w:szCs w:val="24"/>
              </w:rPr>
              <w:t>Марица.</w:t>
            </w:r>
          </w:p>
          <w:p w:rsidR="00EF19C8" w:rsidRDefault="00EF19C8" w:rsidP="008779F2">
            <w:pPr>
              <w:widowControl w:val="0"/>
              <w:autoSpaceDE w:val="0"/>
              <w:autoSpaceDN w:val="0"/>
              <w:adjustRightInd w:val="0"/>
              <w:spacing w:line="240" w:lineRule="auto"/>
              <w:rPr>
                <w:i/>
                <w:sz w:val="24"/>
                <w:szCs w:val="24"/>
              </w:rPr>
            </w:pPr>
          </w:p>
          <w:p w:rsidR="00EF19C8" w:rsidRPr="00EF19C8" w:rsidRDefault="00EF19C8" w:rsidP="00EF19C8">
            <w:pPr>
              <w:widowControl w:val="0"/>
              <w:autoSpaceDE w:val="0"/>
              <w:autoSpaceDN w:val="0"/>
              <w:adjustRightInd w:val="0"/>
              <w:spacing w:line="240" w:lineRule="auto"/>
              <w:rPr>
                <w:sz w:val="24"/>
                <w:szCs w:val="24"/>
              </w:rPr>
            </w:pPr>
            <w:r w:rsidRPr="00EF19C8">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2. да не е осъден/а с влязла в сила присъда за престъпление, аналогично на тези по т. 1, в друга държава членка или трета страна;</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EF19C8">
              <w:rPr>
                <w:sz w:val="24"/>
                <w:szCs w:val="24"/>
              </w:rPr>
              <w:t>социалноосигурителни</w:t>
            </w:r>
            <w:proofErr w:type="spellEnd"/>
            <w:r w:rsidRPr="00EF19C8">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4. да не е налице неравнопоставеност в случаите по чл. 44, ал. 5 от ЗОП;</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lastRenderedPageBreak/>
              <w:t>5. да не е установено с акт на компетентен орган, че:</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 xml:space="preserve">7. да не е налице конфликт на интереси по смисъла на Регламент (ЕС, </w:t>
            </w:r>
            <w:proofErr w:type="spellStart"/>
            <w:r w:rsidRPr="00EF19C8">
              <w:rPr>
                <w:sz w:val="24"/>
                <w:szCs w:val="24"/>
              </w:rPr>
              <w:t>Евратом</w:t>
            </w:r>
            <w:proofErr w:type="spellEnd"/>
            <w:r w:rsidRPr="00EF19C8">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EF19C8">
              <w:rPr>
                <w:sz w:val="24"/>
                <w:szCs w:val="24"/>
              </w:rPr>
              <w:t>Евратом</w:t>
            </w:r>
            <w:proofErr w:type="spellEnd"/>
            <w:r w:rsidRPr="00EF19C8">
              <w:rPr>
                <w:sz w:val="24"/>
                <w:szCs w:val="24"/>
              </w:rPr>
              <w:t>) № 966/2012, който не може да бъде отстранен.</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EF19C8" w:rsidRDefault="00EF19C8" w:rsidP="00EF19C8">
            <w:pPr>
              <w:widowControl w:val="0"/>
              <w:autoSpaceDE w:val="0"/>
              <w:autoSpaceDN w:val="0"/>
              <w:adjustRightInd w:val="0"/>
              <w:spacing w:after="60" w:line="240" w:lineRule="auto"/>
              <w:rPr>
                <w:sz w:val="24"/>
                <w:szCs w:val="24"/>
              </w:rPr>
            </w:pPr>
            <w:r w:rsidRPr="00EF19C8">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B66C0F" w:rsidRPr="00004BC0">
              <w:rPr>
                <w:sz w:val="24"/>
                <w:szCs w:val="24"/>
              </w:rPr>
              <w:t>„</w:t>
            </w:r>
            <w:r w:rsidRPr="00004BC0">
              <w:rPr>
                <w:sz w:val="24"/>
                <w:szCs w:val="24"/>
              </w:rPr>
              <w:t>МИГ</w:t>
            </w:r>
            <w:r w:rsidR="00696685" w:rsidRPr="00004BC0">
              <w:rPr>
                <w:sz w:val="24"/>
                <w:szCs w:val="24"/>
              </w:rPr>
              <w:t xml:space="preserve"> – община Марица</w:t>
            </w:r>
            <w:r w:rsidR="00B66C0F" w:rsidRPr="00004BC0">
              <w:rPr>
                <w:sz w:val="24"/>
                <w:szCs w:val="24"/>
              </w:rPr>
              <w:t>“</w:t>
            </w:r>
            <w:r w:rsidRPr="00004BC0">
              <w:rPr>
                <w:sz w:val="24"/>
                <w:szCs w:val="24"/>
              </w:rPr>
              <w:t>,</w:t>
            </w:r>
            <w:r w:rsidRPr="00EF19C8">
              <w:rPr>
                <w:sz w:val="24"/>
                <w:szCs w:val="24"/>
              </w:rPr>
              <w:t xml:space="preserve"> свързани с разработването и прилагането на стратегия за ВОМР;</w:t>
            </w:r>
          </w:p>
          <w:p w:rsidR="00EF19C8" w:rsidRDefault="00EF19C8" w:rsidP="00EF19C8">
            <w:pPr>
              <w:widowControl w:val="0"/>
              <w:autoSpaceDE w:val="0"/>
              <w:autoSpaceDN w:val="0"/>
              <w:adjustRightInd w:val="0"/>
              <w:spacing w:after="60" w:line="240" w:lineRule="auto"/>
              <w:rPr>
                <w:i/>
                <w:sz w:val="24"/>
                <w:szCs w:val="24"/>
              </w:rPr>
            </w:pPr>
          </w:p>
          <w:p w:rsidR="00EF19C8" w:rsidRDefault="00EF19C8" w:rsidP="00EF19C8">
            <w:pPr>
              <w:widowControl w:val="0"/>
              <w:autoSpaceDE w:val="0"/>
              <w:autoSpaceDN w:val="0"/>
              <w:adjustRightInd w:val="0"/>
              <w:spacing w:after="60" w:line="240" w:lineRule="auto"/>
              <w:rPr>
                <w:i/>
                <w:sz w:val="24"/>
                <w:szCs w:val="24"/>
              </w:rPr>
            </w:pPr>
            <w:r w:rsidRPr="00EF19C8">
              <w:rPr>
                <w:i/>
                <w:sz w:val="24"/>
                <w:szCs w:val="24"/>
              </w:rPr>
              <w:t xml:space="preserve">Към момента на кандидатстване </w:t>
            </w:r>
            <w:r w:rsidR="00314B80">
              <w:rPr>
                <w:i/>
                <w:sz w:val="24"/>
                <w:szCs w:val="24"/>
              </w:rPr>
              <w:t>л</w:t>
            </w:r>
            <w:r w:rsidRPr="00EF19C8">
              <w:rPr>
                <w:i/>
                <w:sz w:val="24"/>
                <w:szCs w:val="24"/>
              </w:rPr>
              <w:t xml:space="preserve">ипсата на обстоятелствата за отстраняване се доказва с декларация </w:t>
            </w:r>
            <w:r w:rsidR="00696685" w:rsidRPr="00004BC0">
              <w:rPr>
                <w:i/>
                <w:sz w:val="24"/>
                <w:szCs w:val="24"/>
              </w:rPr>
              <w:t>по образец</w:t>
            </w:r>
            <w:r w:rsidR="00696685">
              <w:rPr>
                <w:i/>
                <w:sz w:val="24"/>
                <w:szCs w:val="24"/>
              </w:rPr>
              <w:t xml:space="preserve"> </w:t>
            </w:r>
            <w:r w:rsidRPr="00EF19C8">
              <w:rPr>
                <w:i/>
                <w:sz w:val="24"/>
                <w:szCs w:val="24"/>
              </w:rPr>
              <w:t>Приложение 1 към Условията за кандидатстване.</w:t>
            </w:r>
          </w:p>
          <w:p w:rsidR="00FD1276" w:rsidRPr="00FD1276" w:rsidRDefault="00FD1276" w:rsidP="00FD1276">
            <w:pPr>
              <w:widowControl w:val="0"/>
              <w:autoSpaceDE w:val="0"/>
              <w:autoSpaceDN w:val="0"/>
              <w:adjustRightInd w:val="0"/>
              <w:spacing w:after="60" w:line="240" w:lineRule="auto"/>
              <w:rPr>
                <w:i/>
                <w:sz w:val="24"/>
                <w:szCs w:val="24"/>
              </w:rPr>
            </w:pPr>
            <w:r w:rsidRPr="00FD1276">
              <w:rPr>
                <w:i/>
                <w:sz w:val="24"/>
                <w:szCs w:val="24"/>
              </w:rPr>
              <w:t xml:space="preserve">Кандидатите/получателите на финансова помощ декларират липсата на обстоятелства по т. 1 до 10, като основанията по т. 1, 2, 7 и 10 се отнасят за представляващия/те юридическото лице. </w:t>
            </w:r>
          </w:p>
          <w:p w:rsidR="00FD1276" w:rsidRPr="00EF19C8" w:rsidRDefault="00FD1276" w:rsidP="00FD1276">
            <w:pPr>
              <w:widowControl w:val="0"/>
              <w:autoSpaceDE w:val="0"/>
              <w:autoSpaceDN w:val="0"/>
              <w:adjustRightInd w:val="0"/>
              <w:spacing w:after="60" w:line="240" w:lineRule="auto"/>
              <w:rPr>
                <w:i/>
                <w:sz w:val="24"/>
                <w:szCs w:val="24"/>
              </w:rPr>
            </w:pPr>
            <w:r w:rsidRPr="00FD1276">
              <w:rPr>
                <w:i/>
                <w:sz w:val="24"/>
                <w:szCs w:val="24"/>
              </w:rPr>
              <w:t>Кандидат/получател – община не декларира обстоятелствата по т.3.</w:t>
            </w:r>
          </w:p>
          <w:p w:rsidR="00EF19C8" w:rsidRDefault="00EF19C8" w:rsidP="00EF19C8">
            <w:pPr>
              <w:widowControl w:val="0"/>
              <w:autoSpaceDE w:val="0"/>
              <w:autoSpaceDN w:val="0"/>
              <w:adjustRightInd w:val="0"/>
              <w:spacing w:after="60" w:line="240" w:lineRule="auto"/>
              <w:rPr>
                <w:sz w:val="24"/>
                <w:szCs w:val="24"/>
              </w:rPr>
            </w:pP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 xml:space="preserve">Съгласно Заповед № 09-647/03.07.2019г. на Ръководителя на УО на ПРСР, не е </w:t>
            </w:r>
            <w:r w:rsidRPr="00EF19C8">
              <w:rPr>
                <w:sz w:val="24"/>
                <w:szCs w:val="24"/>
              </w:rPr>
              <w:lastRenderedPageBreak/>
              <w:t>допустим за подпомагане кандидат, който е:</w:t>
            </w:r>
          </w:p>
          <w:p w:rsidR="00EF19C8" w:rsidRPr="00004BC0" w:rsidRDefault="00EF19C8" w:rsidP="00EF19C8">
            <w:pPr>
              <w:widowControl w:val="0"/>
              <w:autoSpaceDE w:val="0"/>
              <w:autoSpaceDN w:val="0"/>
              <w:adjustRightInd w:val="0"/>
              <w:spacing w:after="60" w:line="240" w:lineRule="auto"/>
              <w:rPr>
                <w:sz w:val="24"/>
                <w:szCs w:val="24"/>
                <w:lang w:val="en-GB"/>
              </w:rPr>
            </w:pPr>
            <w:r w:rsidRPr="00EF19C8">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B66C0F" w:rsidRPr="00004BC0">
              <w:rPr>
                <w:sz w:val="24"/>
                <w:szCs w:val="24"/>
              </w:rPr>
              <w:t>„</w:t>
            </w:r>
            <w:r w:rsidRPr="00EF19C8">
              <w:rPr>
                <w:sz w:val="24"/>
                <w:szCs w:val="24"/>
              </w:rPr>
              <w:t>МИГ – община Марица“ или с кмета на община „Марица“</w:t>
            </w:r>
            <w:r w:rsidR="00FD1276">
              <w:rPr>
                <w:sz w:val="24"/>
                <w:szCs w:val="24"/>
                <w:lang w:val="en-GB"/>
              </w:rPr>
              <w:t>;</w:t>
            </w:r>
          </w:p>
          <w:p w:rsidR="00EF19C8" w:rsidRPr="00FD1276" w:rsidRDefault="00EF19C8" w:rsidP="00EF19C8">
            <w:pPr>
              <w:widowControl w:val="0"/>
              <w:autoSpaceDE w:val="0"/>
              <w:autoSpaceDN w:val="0"/>
              <w:adjustRightInd w:val="0"/>
              <w:spacing w:after="60" w:line="240" w:lineRule="auto"/>
              <w:rPr>
                <w:sz w:val="24"/>
                <w:szCs w:val="24"/>
              </w:rPr>
            </w:pPr>
            <w:r w:rsidRPr="00EF19C8">
              <w:rPr>
                <w:sz w:val="24"/>
                <w:szCs w:val="24"/>
              </w:rPr>
              <w:t>- член на колективния управителен орган на МИГ – община „Марица“  и свързано лице с член на колективния управителен орган на МИГ по смисъла на §1 от допълнителните разпоредби на Търговския закон</w:t>
            </w:r>
            <w:r w:rsidR="00FD1276">
              <w:rPr>
                <w:sz w:val="24"/>
                <w:szCs w:val="24"/>
                <w:lang w:val="en-GB"/>
              </w:rPr>
              <w:t>;</w:t>
            </w:r>
          </w:p>
          <w:p w:rsidR="00EF19C8" w:rsidRDefault="00EF19C8" w:rsidP="00EF19C8">
            <w:pPr>
              <w:widowControl w:val="0"/>
              <w:autoSpaceDE w:val="0"/>
              <w:autoSpaceDN w:val="0"/>
              <w:adjustRightInd w:val="0"/>
              <w:spacing w:after="60" w:line="240" w:lineRule="auto"/>
              <w:rPr>
                <w:sz w:val="24"/>
                <w:szCs w:val="24"/>
              </w:rPr>
            </w:pPr>
            <w:r w:rsidRPr="00EF19C8">
              <w:rPr>
                <w:sz w:val="24"/>
                <w:szCs w:val="24"/>
              </w:rPr>
              <w:t>- 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w:t>
            </w:r>
            <w:r w:rsidRPr="00004BC0">
              <w:rPr>
                <w:sz w:val="24"/>
                <w:szCs w:val="24"/>
              </w:rPr>
              <w:t>.</w:t>
            </w:r>
          </w:p>
          <w:p w:rsidR="00EF19C8" w:rsidRDefault="00EF19C8" w:rsidP="00EF19C8">
            <w:pPr>
              <w:widowControl w:val="0"/>
              <w:autoSpaceDE w:val="0"/>
              <w:autoSpaceDN w:val="0"/>
              <w:adjustRightInd w:val="0"/>
              <w:spacing w:after="60" w:line="240" w:lineRule="auto"/>
              <w:rPr>
                <w:sz w:val="24"/>
                <w:szCs w:val="24"/>
              </w:rPr>
            </w:pPr>
          </w:p>
          <w:p w:rsidR="006E5E1C" w:rsidRPr="00004BC0" w:rsidRDefault="00EF19C8" w:rsidP="006E5E1C">
            <w:pPr>
              <w:rPr>
                <w:i/>
                <w:sz w:val="24"/>
                <w:szCs w:val="24"/>
              </w:rPr>
            </w:pPr>
            <w:r w:rsidRPr="00DE6BFC">
              <w:rPr>
                <w:i/>
                <w:sz w:val="24"/>
                <w:szCs w:val="24"/>
              </w:rPr>
              <w:t xml:space="preserve">Към момента на кандидатстване за доказване на горното кандидатът подава  декларация </w:t>
            </w:r>
            <w:r w:rsidR="004D6207" w:rsidRPr="00004BC0">
              <w:rPr>
                <w:i/>
                <w:sz w:val="24"/>
                <w:szCs w:val="24"/>
              </w:rPr>
              <w:t>по образец</w:t>
            </w:r>
            <w:r w:rsidR="004D6207">
              <w:rPr>
                <w:i/>
                <w:sz w:val="24"/>
                <w:szCs w:val="24"/>
              </w:rPr>
              <w:t xml:space="preserve"> </w:t>
            </w:r>
            <w:r w:rsidRPr="00DE6BFC">
              <w:rPr>
                <w:i/>
                <w:sz w:val="24"/>
                <w:szCs w:val="24"/>
              </w:rPr>
              <w:t xml:space="preserve">Приложение 2 към Условията за кандидатстване. /Декларацията не се подава от кандидати, които са </w:t>
            </w:r>
            <w:proofErr w:type="spellStart"/>
            <w:r w:rsidRPr="00DE6BFC">
              <w:rPr>
                <w:i/>
                <w:sz w:val="24"/>
                <w:szCs w:val="24"/>
              </w:rPr>
              <w:t>публичноправни</w:t>
            </w:r>
            <w:proofErr w:type="spellEnd"/>
            <w:r w:rsidRPr="00DE6BFC">
              <w:rPr>
                <w:i/>
                <w:sz w:val="24"/>
                <w:szCs w:val="24"/>
              </w:rPr>
              <w:t xml:space="preserve"> </w:t>
            </w:r>
            <w:proofErr w:type="spellStart"/>
            <w:r w:rsidRPr="00DE6BFC">
              <w:rPr>
                <w:i/>
                <w:sz w:val="24"/>
                <w:szCs w:val="24"/>
              </w:rPr>
              <w:t>организиции</w:t>
            </w:r>
            <w:proofErr w:type="spellEnd"/>
            <w:r w:rsidRPr="00DE6BFC">
              <w:rPr>
                <w:i/>
                <w:sz w:val="24"/>
                <w:szCs w:val="24"/>
              </w:rPr>
              <w:t xml:space="preserve"> по смисъла на §2, т.43 от допълнителните разпоредби на Закона за обществените поръчки.</w:t>
            </w:r>
          </w:p>
        </w:tc>
      </w:tr>
    </w:tbl>
    <w:p w:rsidR="00F653A0" w:rsidRPr="007F56DC" w:rsidRDefault="00F653A0" w:rsidP="00F653A0">
      <w:pPr>
        <w:pStyle w:val="1"/>
        <w:numPr>
          <w:ilvl w:val="0"/>
          <w:numId w:val="0"/>
        </w:numPr>
        <w:rPr>
          <w:rFonts w:ascii="Times New Roman" w:hAnsi="Times New Roman" w:cs="Times New Roman"/>
          <w:color w:val="auto"/>
          <w:sz w:val="24"/>
          <w:szCs w:val="24"/>
        </w:rPr>
      </w:pPr>
      <w:bookmarkStart w:id="20" w:name="_Toc479577161"/>
      <w:bookmarkStart w:id="21" w:name="_Toc508719513"/>
      <w:bookmarkStart w:id="22" w:name="_Toc479577163"/>
      <w:bookmarkStart w:id="23" w:name="_Toc508719515"/>
      <w:r>
        <w:rPr>
          <w:rFonts w:ascii="Times New Roman" w:hAnsi="Times New Roman" w:cs="Times New Roman"/>
          <w:color w:val="auto"/>
          <w:sz w:val="24"/>
          <w:szCs w:val="24"/>
        </w:rPr>
        <w:lastRenderedPageBreak/>
        <w:t>12.</w:t>
      </w:r>
      <w:r w:rsidRPr="007F56DC">
        <w:rPr>
          <w:rFonts w:ascii="Times New Roman" w:hAnsi="Times New Roman" w:cs="Times New Roman"/>
          <w:color w:val="auto"/>
          <w:sz w:val="24"/>
          <w:szCs w:val="24"/>
        </w:rPr>
        <w:t>Допустими партньори (ако е приложимо):</w:t>
      </w:r>
      <w:bookmarkEnd w:id="20"/>
      <w:bookmarkEnd w:id="21"/>
    </w:p>
    <w:tbl>
      <w:tblPr>
        <w:tblStyle w:val="a3"/>
        <w:tblW w:w="0" w:type="auto"/>
        <w:tblLook w:val="04A0" w:firstRow="1" w:lastRow="0" w:firstColumn="1" w:lastColumn="0" w:noHBand="0" w:noVBand="1"/>
      </w:tblPr>
      <w:tblGrid>
        <w:gridCol w:w="9288"/>
      </w:tblGrid>
      <w:tr w:rsidR="00F653A0" w:rsidTr="00F653A0">
        <w:tc>
          <w:tcPr>
            <w:tcW w:w="9288" w:type="dxa"/>
          </w:tcPr>
          <w:p w:rsidR="00F653A0" w:rsidRPr="00AD477D" w:rsidRDefault="00F653A0" w:rsidP="00DE12A0">
            <w:pPr>
              <w:rPr>
                <w:sz w:val="24"/>
                <w:szCs w:val="24"/>
              </w:rPr>
            </w:pPr>
            <w:r>
              <w:rPr>
                <w:sz w:val="24"/>
                <w:szCs w:val="24"/>
              </w:rPr>
              <w:t>Неприложимо</w:t>
            </w:r>
          </w:p>
        </w:tc>
      </w:tr>
    </w:tbl>
    <w:p w:rsidR="00F653A0" w:rsidRPr="007F56DC" w:rsidRDefault="00F653A0" w:rsidP="00F653A0">
      <w:pPr>
        <w:pStyle w:val="1"/>
        <w:numPr>
          <w:ilvl w:val="0"/>
          <w:numId w:val="0"/>
        </w:numPr>
        <w:rPr>
          <w:rFonts w:ascii="Times New Roman" w:hAnsi="Times New Roman" w:cs="Times New Roman"/>
          <w:color w:val="auto"/>
          <w:sz w:val="24"/>
          <w:szCs w:val="24"/>
        </w:rPr>
      </w:pPr>
      <w:bookmarkStart w:id="24" w:name="_Toc479577162"/>
      <w:bookmarkStart w:id="25" w:name="_Toc508719514"/>
      <w:r>
        <w:rPr>
          <w:rFonts w:ascii="Times New Roman" w:hAnsi="Times New Roman" w:cs="Times New Roman"/>
          <w:color w:val="auto"/>
          <w:sz w:val="24"/>
          <w:szCs w:val="24"/>
        </w:rPr>
        <w:t>13.</w:t>
      </w:r>
      <w:r w:rsidRPr="007F56DC">
        <w:rPr>
          <w:rFonts w:ascii="Times New Roman" w:hAnsi="Times New Roman" w:cs="Times New Roman"/>
          <w:color w:val="auto"/>
          <w:sz w:val="24"/>
          <w:szCs w:val="24"/>
        </w:rPr>
        <w:t>Дейности, допустими за финансиране:</w:t>
      </w:r>
      <w:bookmarkEnd w:id="24"/>
      <w:bookmarkEnd w:id="25"/>
    </w:p>
    <w:tbl>
      <w:tblPr>
        <w:tblStyle w:val="a3"/>
        <w:tblW w:w="0" w:type="auto"/>
        <w:tblLook w:val="04A0" w:firstRow="1" w:lastRow="0" w:firstColumn="1" w:lastColumn="0" w:noHBand="0" w:noVBand="1"/>
      </w:tblPr>
      <w:tblGrid>
        <w:gridCol w:w="9288"/>
      </w:tblGrid>
      <w:tr w:rsidR="00F653A0" w:rsidTr="00DE12A0">
        <w:trPr>
          <w:trHeight w:val="4212"/>
        </w:trPr>
        <w:tc>
          <w:tcPr>
            <w:tcW w:w="9288" w:type="dxa"/>
          </w:tcPr>
          <w:p w:rsidR="00F653A0" w:rsidRDefault="00F653A0" w:rsidP="00DE12A0">
            <w:pPr>
              <w:rPr>
                <w:sz w:val="24"/>
                <w:szCs w:val="24"/>
              </w:rPr>
            </w:pPr>
            <w:r w:rsidRPr="00B570D1">
              <w:rPr>
                <w:sz w:val="24"/>
                <w:szCs w:val="24"/>
              </w:rPr>
              <w:t xml:space="preserve">По </w:t>
            </w:r>
            <w:r w:rsidRPr="00AE6C85">
              <w:rPr>
                <w:sz w:val="24"/>
                <w:szCs w:val="24"/>
              </w:rPr>
              <w:t xml:space="preserve">Мярка </w:t>
            </w:r>
            <w:r w:rsidRPr="00B570D1">
              <w:rPr>
                <w:sz w:val="24"/>
                <w:szCs w:val="24"/>
              </w:rPr>
              <w:t>М7.</w:t>
            </w:r>
            <w:r>
              <w:rPr>
                <w:sz w:val="24"/>
                <w:szCs w:val="24"/>
              </w:rPr>
              <w:t>5</w:t>
            </w:r>
            <w:r w:rsidRPr="00B570D1">
              <w:rPr>
                <w:sz w:val="24"/>
                <w:szCs w:val="24"/>
              </w:rPr>
              <w:t xml:space="preserve">. </w:t>
            </w:r>
            <w:r>
              <w:rPr>
                <w:sz w:val="24"/>
                <w:szCs w:val="24"/>
              </w:rPr>
              <w:t>„</w:t>
            </w:r>
            <w:r w:rsidRPr="008B7CF8">
              <w:rPr>
                <w:sz w:val="24"/>
                <w:szCs w:val="24"/>
              </w:rPr>
              <w:t>Инвестиции за публично ползване в инфраструктура за отдих, туристическа инфраструктура</w:t>
            </w:r>
            <w:r>
              <w:rPr>
                <w:sz w:val="24"/>
                <w:szCs w:val="24"/>
              </w:rPr>
              <w:t>“</w:t>
            </w:r>
            <w:r w:rsidRPr="00B570D1">
              <w:rPr>
                <w:sz w:val="24"/>
                <w:szCs w:val="24"/>
              </w:rPr>
              <w:t xml:space="preserve"> се предоставя финансова помощ за следните допустими за подпомагане дейности:</w:t>
            </w:r>
          </w:p>
          <w:p w:rsidR="00F653A0" w:rsidRPr="000553EF" w:rsidRDefault="00F653A0" w:rsidP="00DE12A0">
            <w:pPr>
              <w:tabs>
                <w:tab w:val="num" w:pos="391"/>
              </w:tabs>
              <w:spacing w:line="23" w:lineRule="atLeast"/>
              <w:rPr>
                <w:sz w:val="24"/>
                <w:szCs w:val="24"/>
              </w:rPr>
            </w:pPr>
            <w:r w:rsidRPr="000553EF">
              <w:rPr>
                <w:sz w:val="24"/>
                <w:szCs w:val="24"/>
              </w:rPr>
              <w:t>-</w:t>
            </w:r>
            <w:r w:rsidRPr="000553EF">
              <w:rPr>
                <w:sz w:val="24"/>
                <w:szCs w:val="24"/>
                <w:lang w:val="en-US"/>
              </w:rPr>
              <w:t xml:space="preserve"> </w:t>
            </w:r>
            <w:r w:rsidRPr="000553EF">
              <w:rPr>
                <w:sz w:val="24"/>
                <w:szCs w:val="24"/>
              </w:rPr>
              <w:t xml:space="preserve">Изграждане, реконструкция, ремонт, закупуване на оборудване и/или обзавеждане на туристически информационни центрове; </w:t>
            </w:r>
          </w:p>
          <w:p w:rsidR="00F653A0" w:rsidRPr="000553EF" w:rsidRDefault="00F653A0" w:rsidP="00DE12A0">
            <w:pPr>
              <w:tabs>
                <w:tab w:val="num" w:pos="391"/>
              </w:tabs>
              <w:spacing w:line="23" w:lineRule="atLeast"/>
              <w:rPr>
                <w:sz w:val="24"/>
                <w:szCs w:val="24"/>
                <w:lang w:val="en-US"/>
              </w:rPr>
            </w:pPr>
            <w:r w:rsidRPr="000553EF">
              <w:rPr>
                <w:sz w:val="24"/>
                <w:szCs w:val="24"/>
              </w:rPr>
              <w:t>-</w:t>
            </w:r>
            <w:r w:rsidRPr="000553EF">
              <w:rPr>
                <w:sz w:val="24"/>
                <w:szCs w:val="24"/>
                <w:lang w:val="en-US"/>
              </w:rPr>
              <w:t xml:space="preserve"> </w:t>
            </w:r>
            <w:r w:rsidRPr="000553EF">
              <w:rPr>
                <w:sz w:val="24"/>
                <w:szCs w:val="24"/>
              </w:rPr>
              <w:t>Изграждане на обществени зони за отдих</w:t>
            </w:r>
            <w:r w:rsidRPr="000553EF">
              <w:rPr>
                <w:sz w:val="24"/>
                <w:szCs w:val="24"/>
                <w:lang w:val="en-US"/>
              </w:rPr>
              <w:t>;</w:t>
            </w:r>
          </w:p>
          <w:p w:rsidR="00F653A0" w:rsidRPr="000553EF" w:rsidRDefault="00F653A0" w:rsidP="00DE12A0">
            <w:pPr>
              <w:tabs>
                <w:tab w:val="num" w:pos="391"/>
              </w:tabs>
              <w:spacing w:line="23" w:lineRule="atLeast"/>
              <w:rPr>
                <w:sz w:val="24"/>
                <w:szCs w:val="24"/>
              </w:rPr>
            </w:pPr>
            <w:r w:rsidRPr="000553EF">
              <w:rPr>
                <w:sz w:val="24"/>
                <w:szCs w:val="24"/>
                <w:lang w:val="en-US"/>
              </w:rPr>
              <w:t xml:space="preserve">- </w:t>
            </w:r>
            <w:r w:rsidRPr="000553EF">
              <w:rPr>
                <w:sz w:val="24"/>
                <w:szCs w:val="24"/>
              </w:rPr>
              <w:t xml:space="preserve">Изграждане, реконструкция, ремонт, закупуване на оборудване и/или обзавеждане на </w:t>
            </w:r>
            <w:proofErr w:type="spellStart"/>
            <w:r w:rsidRPr="000553EF">
              <w:rPr>
                <w:sz w:val="24"/>
                <w:szCs w:val="24"/>
              </w:rPr>
              <w:t>посетителските</w:t>
            </w:r>
            <w:proofErr w:type="spellEnd"/>
            <w:r w:rsidRPr="000553EF">
              <w:rPr>
                <w:sz w:val="24"/>
                <w:szCs w:val="24"/>
              </w:rPr>
              <w:t xml:space="preserve"> центрове за представяне и експониране на местното природно и културно наследство; </w:t>
            </w:r>
          </w:p>
          <w:p w:rsidR="00F653A0" w:rsidRPr="000553EF" w:rsidRDefault="00F653A0" w:rsidP="00DE12A0">
            <w:pPr>
              <w:tabs>
                <w:tab w:val="num" w:pos="391"/>
              </w:tabs>
              <w:spacing w:line="23" w:lineRule="atLeast"/>
              <w:rPr>
                <w:b/>
                <w:sz w:val="24"/>
                <w:szCs w:val="24"/>
                <w:shd w:val="clear" w:color="auto" w:fill="FEFEFE"/>
                <w:lang w:val="en-US"/>
              </w:rPr>
            </w:pPr>
            <w:r w:rsidRPr="000553EF">
              <w:rPr>
                <w:sz w:val="24"/>
                <w:szCs w:val="24"/>
                <w:lang w:val="en-US"/>
              </w:rPr>
              <w:t>-</w:t>
            </w:r>
            <w:r w:rsidRPr="000553EF">
              <w:rPr>
                <w:sz w:val="24"/>
                <w:szCs w:val="24"/>
              </w:rPr>
              <w:t xml:space="preserve"> Изграждане, реконструкция, ремонт, закупуване на оборудване и/или обзавеждане на центровете за изкуство и занаяти с туристическа цел</w:t>
            </w:r>
            <w:r w:rsidRPr="000553EF">
              <w:rPr>
                <w:sz w:val="24"/>
                <w:szCs w:val="24"/>
                <w:lang w:val="en-US"/>
              </w:rPr>
              <w:t>;</w:t>
            </w:r>
          </w:p>
          <w:p w:rsidR="00F653A0" w:rsidRPr="000553EF" w:rsidRDefault="00F653A0" w:rsidP="00DE12A0">
            <w:pPr>
              <w:tabs>
                <w:tab w:val="left" w:pos="348"/>
                <w:tab w:val="num" w:pos="720"/>
              </w:tabs>
              <w:spacing w:line="23" w:lineRule="atLeast"/>
              <w:rPr>
                <w:sz w:val="24"/>
                <w:szCs w:val="24"/>
              </w:rPr>
            </w:pPr>
            <w:r w:rsidRPr="000553EF">
              <w:rPr>
                <w:sz w:val="24"/>
                <w:szCs w:val="24"/>
              </w:rPr>
              <w:t>- Изграждане, реконструкция, ремонт и закупуване на съоръжения за туристически атракции, свързани с местното природно, историческо и културно наследство и предоставящи услуги с познавателна или образователна цел;</w:t>
            </w:r>
          </w:p>
          <w:p w:rsidR="00F653A0" w:rsidRDefault="00F653A0" w:rsidP="00DE12A0">
            <w:pPr>
              <w:tabs>
                <w:tab w:val="left" w:pos="348"/>
              </w:tabs>
              <w:spacing w:line="23" w:lineRule="atLeast"/>
              <w:rPr>
                <w:sz w:val="24"/>
                <w:szCs w:val="24"/>
              </w:rPr>
            </w:pPr>
            <w:r w:rsidRPr="000553EF">
              <w:rPr>
                <w:sz w:val="24"/>
                <w:szCs w:val="24"/>
              </w:rPr>
              <w:t xml:space="preserve">- Инвестиции за изграждане, реконструкция, ремонт и закупуване на съоръжения за туристическа инфраструктура </w:t>
            </w:r>
            <w:r w:rsidRPr="000553EF">
              <w:rPr>
                <w:sz w:val="24"/>
                <w:szCs w:val="24"/>
                <w:lang w:val="en-US"/>
              </w:rPr>
              <w:t>(</w:t>
            </w:r>
            <w:r w:rsidRPr="000553EF">
              <w:rPr>
                <w:sz w:val="24"/>
                <w:szCs w:val="24"/>
              </w:rPr>
              <w:t xml:space="preserve">информационни табели и пътепоказатели за туристическите места и маршрути, съоръжения за безопасност, </w:t>
            </w:r>
            <w:proofErr w:type="spellStart"/>
            <w:r w:rsidRPr="000553EF">
              <w:rPr>
                <w:sz w:val="24"/>
                <w:szCs w:val="24"/>
              </w:rPr>
              <w:t>велоалеи</w:t>
            </w:r>
            <w:proofErr w:type="spellEnd"/>
            <w:r w:rsidRPr="000553EF">
              <w:rPr>
                <w:sz w:val="24"/>
                <w:szCs w:val="24"/>
              </w:rPr>
              <w:t xml:space="preserve"> и туристически пътеки</w:t>
            </w:r>
            <w:r w:rsidRPr="000553EF">
              <w:rPr>
                <w:sz w:val="24"/>
                <w:szCs w:val="24"/>
                <w:lang w:val="en-US"/>
              </w:rPr>
              <w:t>)</w:t>
            </w:r>
            <w:r w:rsidRPr="000553EF">
              <w:rPr>
                <w:sz w:val="24"/>
                <w:szCs w:val="24"/>
              </w:rPr>
              <w:t>.</w:t>
            </w:r>
            <w:r w:rsidRPr="000553EF">
              <w:rPr>
                <w:sz w:val="24"/>
                <w:szCs w:val="24"/>
                <w:lang w:val="en-US"/>
              </w:rPr>
              <w:t xml:space="preserve"> </w:t>
            </w:r>
          </w:p>
          <w:p w:rsidR="00F653A0" w:rsidRDefault="00F653A0" w:rsidP="00DE12A0">
            <w:pPr>
              <w:tabs>
                <w:tab w:val="left" w:pos="348"/>
              </w:tabs>
              <w:spacing w:line="23" w:lineRule="atLeast"/>
              <w:rPr>
                <w:sz w:val="24"/>
                <w:szCs w:val="24"/>
              </w:rPr>
            </w:pPr>
          </w:p>
          <w:p w:rsidR="00F653A0" w:rsidRPr="000553EF" w:rsidRDefault="00F653A0" w:rsidP="00DE12A0">
            <w:pPr>
              <w:tabs>
                <w:tab w:val="left" w:pos="348"/>
              </w:tabs>
              <w:spacing w:line="23" w:lineRule="atLeast"/>
              <w:rPr>
                <w:b/>
                <w:sz w:val="24"/>
                <w:szCs w:val="24"/>
              </w:rPr>
            </w:pPr>
            <w:r>
              <w:rPr>
                <w:sz w:val="24"/>
                <w:szCs w:val="24"/>
              </w:rPr>
              <w:t xml:space="preserve">С оглед на определения по настоящата процедура режим на „непомощ“, допустими са </w:t>
            </w:r>
            <w:r>
              <w:rPr>
                <w:sz w:val="24"/>
                <w:szCs w:val="24"/>
              </w:rPr>
              <w:lastRenderedPageBreak/>
              <w:t xml:space="preserve">само дейности, които имат неикономически характер и за които кандидатства кандидат, който не действа като икономически оператор </w:t>
            </w:r>
            <w:r>
              <w:rPr>
                <w:sz w:val="24"/>
                <w:szCs w:val="24"/>
                <w:lang w:val="en-US"/>
              </w:rPr>
              <w:t>(</w:t>
            </w:r>
            <w:r>
              <w:rPr>
                <w:sz w:val="24"/>
                <w:szCs w:val="24"/>
              </w:rPr>
              <w:t>предприятие</w:t>
            </w:r>
            <w:r>
              <w:rPr>
                <w:sz w:val="24"/>
                <w:szCs w:val="24"/>
                <w:lang w:val="en-US"/>
              </w:rPr>
              <w:t>)</w:t>
            </w:r>
            <w:r>
              <w:rPr>
                <w:sz w:val="24"/>
                <w:szCs w:val="24"/>
              </w:rPr>
              <w:t>. Определянето на режим „непомощ“ и условията за неговото прилагане са описани в раздел 16 от настоящите Условия за кандидатстване. С цел доказване на определения по настоящата процедура режим на „непомощ“ се изисква от кандидатите представянето на анализ разходи-ползи.</w:t>
            </w:r>
          </w:p>
          <w:p w:rsidR="00F653A0" w:rsidRDefault="00F653A0" w:rsidP="00DE12A0">
            <w:pPr>
              <w:rPr>
                <w:sz w:val="24"/>
                <w:szCs w:val="24"/>
                <w:lang w:val="en-US"/>
              </w:rPr>
            </w:pPr>
          </w:p>
          <w:p w:rsidR="00F653A0" w:rsidRPr="00010F72" w:rsidRDefault="00F653A0" w:rsidP="00DE12A0">
            <w:pPr>
              <w:rPr>
                <w:b/>
                <w:sz w:val="24"/>
                <w:szCs w:val="24"/>
              </w:rPr>
            </w:pPr>
            <w:r w:rsidRPr="00010F72">
              <w:rPr>
                <w:b/>
                <w:sz w:val="24"/>
                <w:szCs w:val="24"/>
              </w:rPr>
              <w:t>Проектите се подпомагат при следните изисквания:</w:t>
            </w:r>
          </w:p>
          <w:p w:rsidR="00F653A0" w:rsidRPr="00FB6546" w:rsidRDefault="00F653A0" w:rsidP="00DE12A0">
            <w:pPr>
              <w:numPr>
                <w:ilvl w:val="0"/>
                <w:numId w:val="34"/>
              </w:numPr>
              <w:ind w:left="0" w:firstLine="0"/>
              <w:rPr>
                <w:sz w:val="24"/>
                <w:szCs w:val="24"/>
              </w:rPr>
            </w:pPr>
            <w:r w:rsidRPr="00010F72">
              <w:rPr>
                <w:sz w:val="24"/>
                <w:szCs w:val="24"/>
              </w:rPr>
              <w:t xml:space="preserve">Проектните предложения </w:t>
            </w:r>
            <w:r w:rsidRPr="00FB6546">
              <w:rPr>
                <w:sz w:val="24"/>
                <w:szCs w:val="24"/>
              </w:rPr>
              <w:t>са в съответствие с хоризонталните политики на ЕС</w:t>
            </w:r>
            <w:r w:rsidRPr="00FB6546">
              <w:rPr>
                <w:sz w:val="24"/>
                <w:szCs w:val="24"/>
                <w:lang w:val="en-US"/>
              </w:rPr>
              <w:t>;</w:t>
            </w:r>
            <w:r w:rsidRPr="00FB6546">
              <w:rPr>
                <w:sz w:val="24"/>
                <w:szCs w:val="24"/>
              </w:rPr>
              <w:t xml:space="preserve"> </w:t>
            </w:r>
          </w:p>
          <w:p w:rsidR="00F653A0" w:rsidRPr="004E4316" w:rsidRDefault="00F653A0" w:rsidP="00DE12A0">
            <w:pPr>
              <w:numPr>
                <w:ilvl w:val="0"/>
                <w:numId w:val="34"/>
              </w:numPr>
              <w:ind w:left="0" w:firstLine="0"/>
              <w:rPr>
                <w:sz w:val="24"/>
                <w:szCs w:val="24"/>
              </w:rPr>
            </w:pPr>
            <w:r w:rsidRPr="004E4316">
              <w:rPr>
                <w:sz w:val="24"/>
                <w:szCs w:val="24"/>
              </w:rPr>
              <w:t>Дейностите, включени в проектите, с които ще се кандидатства по тази процедура, водят до постигане на заложените цели в одобренат</w:t>
            </w:r>
            <w:r w:rsidRPr="00DB1455">
              <w:rPr>
                <w:sz w:val="24"/>
                <w:szCs w:val="24"/>
              </w:rPr>
              <w:t xml:space="preserve">а </w:t>
            </w:r>
            <w:r w:rsidRPr="004E4316">
              <w:rPr>
                <w:sz w:val="24"/>
                <w:szCs w:val="24"/>
              </w:rPr>
              <w:t>СВОМР</w:t>
            </w:r>
            <w:r w:rsidRPr="004E4316">
              <w:rPr>
                <w:sz w:val="24"/>
                <w:szCs w:val="24"/>
                <w:lang w:val="en-US"/>
              </w:rPr>
              <w:t>;</w:t>
            </w:r>
          </w:p>
          <w:p w:rsidR="00F653A0" w:rsidRPr="004E4316" w:rsidRDefault="00F653A0" w:rsidP="00DE12A0">
            <w:pPr>
              <w:numPr>
                <w:ilvl w:val="0"/>
                <w:numId w:val="34"/>
              </w:numPr>
              <w:ind w:left="0" w:firstLine="0"/>
              <w:rPr>
                <w:sz w:val="24"/>
                <w:szCs w:val="24"/>
              </w:rPr>
            </w:pPr>
            <w:r w:rsidRPr="004E4316">
              <w:rPr>
                <w:sz w:val="24"/>
                <w:szCs w:val="24"/>
              </w:rPr>
              <w:t>Дейностите по проекта се осъществяват на територията на действие на МИГ.</w:t>
            </w:r>
          </w:p>
          <w:p w:rsidR="00F653A0" w:rsidRPr="004E4316" w:rsidRDefault="00F653A0" w:rsidP="00DE12A0">
            <w:pPr>
              <w:numPr>
                <w:ilvl w:val="0"/>
                <w:numId w:val="34"/>
              </w:numPr>
              <w:ind w:left="0" w:firstLine="0"/>
              <w:rPr>
                <w:sz w:val="24"/>
                <w:szCs w:val="24"/>
              </w:rPr>
            </w:pPr>
            <w:r w:rsidRPr="00DB1455">
              <w:rPr>
                <w:sz w:val="24"/>
                <w:szCs w:val="24"/>
              </w:rPr>
              <w:t xml:space="preserve">Подпомагат се проекти, за които са проведени </w:t>
            </w:r>
            <w:proofErr w:type="spellStart"/>
            <w:r w:rsidRPr="00DB1455">
              <w:rPr>
                <w:sz w:val="24"/>
                <w:szCs w:val="24"/>
              </w:rPr>
              <w:t>съгласувателните</w:t>
            </w:r>
            <w:proofErr w:type="spellEnd"/>
            <w:r w:rsidRPr="00DB1455">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w:t>
            </w:r>
            <w:r w:rsidRPr="004E4316">
              <w:rPr>
                <w:sz w:val="24"/>
                <w:szCs w:val="24"/>
              </w:rPr>
              <w:t>наследство (когато е приложимо).</w:t>
            </w:r>
          </w:p>
          <w:p w:rsidR="00F653A0" w:rsidRPr="00CD1337" w:rsidRDefault="00F653A0" w:rsidP="00DE12A0">
            <w:pPr>
              <w:numPr>
                <w:ilvl w:val="0"/>
                <w:numId w:val="34"/>
              </w:numPr>
              <w:ind w:left="0" w:firstLine="0"/>
              <w:rPr>
                <w:sz w:val="24"/>
                <w:szCs w:val="24"/>
              </w:rPr>
            </w:pPr>
            <w:r w:rsidRPr="004E4316">
              <w:rPr>
                <w:sz w:val="24"/>
                <w:szCs w:val="24"/>
              </w:rPr>
              <w:t>Проектите се изпълняват върху имот - собственост на кандидата, а когато имотът не е собственост на кандидата, към про</w:t>
            </w:r>
            <w:r w:rsidRPr="00DB1455">
              <w:rPr>
                <w:sz w:val="24"/>
                <w:szCs w:val="24"/>
              </w:rPr>
              <w:t xml:space="preserve">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към </w:t>
            </w:r>
            <w:r w:rsidRPr="004E4316">
              <w:rPr>
                <w:sz w:val="24"/>
                <w:szCs w:val="24"/>
              </w:rPr>
              <w:t>СВОМР,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w:t>
            </w:r>
            <w:r w:rsidRPr="00DB1455">
              <w:rPr>
                <w:sz w:val="24"/>
                <w:szCs w:val="24"/>
              </w:rPr>
              <w:t>она за устройство на територията</w:t>
            </w:r>
            <w:r w:rsidRPr="00CD1337">
              <w:rPr>
                <w:sz w:val="24"/>
                <w:szCs w:val="24"/>
                <w:lang w:val="en-GB"/>
              </w:rPr>
              <w:t>;</w:t>
            </w:r>
            <w:r w:rsidRPr="00CD1337">
              <w:rPr>
                <w:sz w:val="24"/>
                <w:szCs w:val="24"/>
              </w:rPr>
              <w:t xml:space="preserve"> </w:t>
            </w:r>
          </w:p>
          <w:p w:rsidR="00F653A0" w:rsidRPr="00500966" w:rsidRDefault="00F653A0" w:rsidP="00DE12A0">
            <w:pPr>
              <w:rPr>
                <w:sz w:val="24"/>
                <w:szCs w:val="24"/>
              </w:rPr>
            </w:pPr>
            <w:r w:rsidRPr="00DB1455">
              <w:rPr>
                <w:b/>
                <w:sz w:val="24"/>
                <w:szCs w:val="24"/>
              </w:rPr>
              <w:t>или</w:t>
            </w:r>
            <w:r w:rsidRPr="00DB1455">
              <w:rPr>
                <w:sz w:val="24"/>
                <w:szCs w:val="24"/>
              </w:rPr>
              <w:t xml:space="preserve"> документ за ползване на имота за срок не по-малко от 6 години, считано от датата на подаване на проектното предложение </w:t>
            </w:r>
            <w:r w:rsidRPr="004E4316">
              <w:rPr>
                <w:sz w:val="24"/>
                <w:szCs w:val="24"/>
              </w:rPr>
              <w:t>СВОМР</w:t>
            </w:r>
            <w:r w:rsidRPr="0033344A">
              <w:rPr>
                <w:sz w:val="24"/>
                <w:szCs w:val="24"/>
              </w:rPr>
              <w:t>, вписан в районната служба по вписванията - в случай на кандидатстване за разходи за закупуване и/или инсталиране на машини, оборудване, обзавеждане или строително-монтажни работи, за които не се изисква из</w:t>
            </w:r>
            <w:r w:rsidRPr="00500966">
              <w:rPr>
                <w:sz w:val="24"/>
                <w:szCs w:val="24"/>
              </w:rPr>
              <w:t>даване на разрешение за строеж съгласно Закона за устройство на територията.</w:t>
            </w:r>
          </w:p>
          <w:p w:rsidR="00F653A0" w:rsidRPr="00E70924" w:rsidRDefault="00F653A0" w:rsidP="00DE12A0">
            <w:pPr>
              <w:numPr>
                <w:ilvl w:val="0"/>
                <w:numId w:val="34"/>
              </w:numPr>
              <w:ind w:left="0" w:firstLine="0"/>
              <w:rPr>
                <w:sz w:val="24"/>
                <w:szCs w:val="24"/>
              </w:rPr>
            </w:pPr>
            <w:r w:rsidRPr="00E70924">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653A0" w:rsidRPr="00D76323" w:rsidRDefault="00F653A0" w:rsidP="00DE12A0">
            <w:pPr>
              <w:numPr>
                <w:ilvl w:val="0"/>
                <w:numId w:val="34"/>
              </w:numPr>
              <w:ind w:left="0" w:firstLine="0"/>
              <w:rPr>
                <w:sz w:val="24"/>
                <w:szCs w:val="24"/>
              </w:rPr>
            </w:pPr>
            <w:r w:rsidRPr="00864E47">
              <w:rPr>
                <w:sz w:val="24"/>
                <w:szCs w:val="24"/>
              </w:rPr>
              <w:t xml:space="preserve">Дейностите и инвестициите по проекта, за които се изисква лицензиране, разрешение и/или регистрация за извършване на дейността/инвестицията съгласно </w:t>
            </w:r>
            <w:r w:rsidRPr="00864E47">
              <w:rPr>
                <w:sz w:val="24"/>
                <w:szCs w:val="24"/>
              </w:rPr>
              <w:lastRenderedPageBreak/>
              <w:t>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F653A0" w:rsidRDefault="00F653A0" w:rsidP="00DE12A0">
            <w:pPr>
              <w:rPr>
                <w:b/>
                <w:sz w:val="24"/>
                <w:szCs w:val="24"/>
              </w:rPr>
            </w:pPr>
          </w:p>
          <w:p w:rsidR="00F653A0" w:rsidRPr="00D76323" w:rsidRDefault="00F653A0" w:rsidP="00DE12A0">
            <w:pPr>
              <w:rPr>
                <w:b/>
                <w:sz w:val="24"/>
                <w:szCs w:val="24"/>
              </w:rPr>
            </w:pPr>
            <w:r w:rsidRPr="00D76323">
              <w:rPr>
                <w:b/>
                <w:sz w:val="24"/>
                <w:szCs w:val="24"/>
              </w:rPr>
              <w:t>Не се подпомагат проекти</w:t>
            </w:r>
            <w:r>
              <w:rPr>
                <w:b/>
                <w:sz w:val="24"/>
                <w:szCs w:val="24"/>
              </w:rPr>
              <w:t xml:space="preserve"> </w:t>
            </w:r>
            <w:r w:rsidRPr="004E4316">
              <w:rPr>
                <w:b/>
                <w:sz w:val="24"/>
                <w:szCs w:val="24"/>
              </w:rPr>
              <w:t>(когато е приложимо):</w:t>
            </w:r>
          </w:p>
          <w:p w:rsidR="00F653A0" w:rsidRPr="00D76323" w:rsidRDefault="00F653A0" w:rsidP="00DE12A0">
            <w:pPr>
              <w:rPr>
                <w:sz w:val="24"/>
                <w:szCs w:val="24"/>
              </w:rPr>
            </w:pPr>
            <w:r w:rsidRPr="00D76323">
              <w:rPr>
                <w:sz w:val="24"/>
                <w:szCs w:val="24"/>
              </w:rPr>
              <w:t>1. за които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 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F653A0" w:rsidRPr="00D76323" w:rsidRDefault="00F653A0" w:rsidP="00DE12A0">
            <w:pPr>
              <w:rPr>
                <w:sz w:val="24"/>
                <w:szCs w:val="24"/>
              </w:rPr>
            </w:pPr>
            <w:r w:rsidRPr="00D76323">
              <w:rPr>
                <w:sz w:val="24"/>
                <w:szCs w:val="24"/>
              </w:rPr>
              <w:t xml:space="preserve">2. които се извършват на терени, които подлежат на </w:t>
            </w:r>
            <w:proofErr w:type="spellStart"/>
            <w:r w:rsidRPr="00D76323">
              <w:rPr>
                <w:sz w:val="24"/>
                <w:szCs w:val="24"/>
              </w:rPr>
              <w:t>рекултивация</w:t>
            </w:r>
            <w:proofErr w:type="spellEnd"/>
            <w:r w:rsidRPr="00D76323">
              <w:rPr>
                <w:sz w:val="24"/>
                <w:szCs w:val="24"/>
              </w:rPr>
              <w:t xml:space="preserve"> съгласно чл. 11, ал. 1 от Закона за опазване на земеделските земи и не се изпълняват мерките, предвидени в проекта по чл. 11, ал. 2 или 3 от същия закон;</w:t>
            </w:r>
          </w:p>
          <w:p w:rsidR="00F653A0" w:rsidRPr="00D76323" w:rsidRDefault="00F653A0" w:rsidP="00DE12A0">
            <w:pPr>
              <w:rPr>
                <w:sz w:val="24"/>
                <w:szCs w:val="24"/>
              </w:rPr>
            </w:pPr>
            <w:r w:rsidRPr="00D76323">
              <w:rPr>
                <w:sz w:val="24"/>
                <w:szCs w:val="24"/>
              </w:rPr>
              <w:t>3. по които дейностите по настоящите Условия за кандидатстване, включени в проектите, са били физически започнати и/или извършени преди подаване на заявлението за подпомагане, независимо дали всички свързани плащания са извършени;</w:t>
            </w:r>
          </w:p>
          <w:p w:rsidR="00F653A0" w:rsidRDefault="00F653A0" w:rsidP="00DE12A0">
            <w:pPr>
              <w:rPr>
                <w:sz w:val="24"/>
                <w:szCs w:val="24"/>
              </w:rPr>
            </w:pPr>
            <w:r w:rsidRPr="00D76323">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F653A0" w:rsidRDefault="00F653A0" w:rsidP="00DE12A0">
            <w:pPr>
              <w:rPr>
                <w:sz w:val="24"/>
                <w:szCs w:val="24"/>
              </w:rPr>
            </w:pPr>
            <w:r w:rsidRPr="00D76323">
              <w:rPr>
                <w:sz w:val="24"/>
                <w:szCs w:val="24"/>
              </w:rPr>
              <w:t xml:space="preserve">5. които не съдържат анализ </w:t>
            </w:r>
            <w:r w:rsidRPr="004E4316">
              <w:rPr>
                <w:sz w:val="24"/>
                <w:szCs w:val="24"/>
              </w:rPr>
              <w:t>„разходи - ползи“</w:t>
            </w:r>
            <w:r w:rsidRPr="00D76323">
              <w:rPr>
                <w:sz w:val="24"/>
                <w:szCs w:val="24"/>
              </w:rPr>
              <w:t xml:space="preserve"> (финансов анализ) - по образец утвърден от изпълнителния директор на ДФЗ, наличен на </w:t>
            </w:r>
            <w:proofErr w:type="spellStart"/>
            <w:r w:rsidRPr="00D76323">
              <w:rPr>
                <w:sz w:val="24"/>
                <w:szCs w:val="24"/>
                <w:lang w:val="en-US"/>
              </w:rPr>
              <w:t>интернет</w:t>
            </w:r>
            <w:proofErr w:type="spellEnd"/>
            <w:r w:rsidRPr="00D76323">
              <w:rPr>
                <w:sz w:val="24"/>
                <w:szCs w:val="24"/>
                <w:lang w:val="en-US"/>
              </w:rPr>
              <w:t xml:space="preserve"> </w:t>
            </w:r>
            <w:proofErr w:type="spellStart"/>
            <w:r w:rsidRPr="00D76323">
              <w:rPr>
                <w:sz w:val="24"/>
                <w:szCs w:val="24"/>
                <w:lang w:val="en-US"/>
              </w:rPr>
              <w:t>сайта</w:t>
            </w:r>
            <w:proofErr w:type="spellEnd"/>
            <w:r w:rsidRPr="00D76323">
              <w:rPr>
                <w:sz w:val="24"/>
                <w:szCs w:val="24"/>
                <w:lang w:val="en-US"/>
              </w:rPr>
              <w:t xml:space="preserve"> </w:t>
            </w:r>
            <w:proofErr w:type="spellStart"/>
            <w:r w:rsidRPr="00D76323">
              <w:rPr>
                <w:sz w:val="24"/>
                <w:szCs w:val="24"/>
                <w:lang w:val="en-US"/>
              </w:rPr>
              <w:t>на</w:t>
            </w:r>
            <w:proofErr w:type="spellEnd"/>
            <w:r w:rsidRPr="00D76323">
              <w:rPr>
                <w:sz w:val="24"/>
                <w:szCs w:val="24"/>
                <w:lang w:val="en-US"/>
              </w:rPr>
              <w:t xml:space="preserve"> ДФЗ (</w:t>
            </w:r>
            <w:hyperlink r:id="rId9" w:history="1">
              <w:r w:rsidRPr="00D76323">
                <w:rPr>
                  <w:sz w:val="24"/>
                  <w:szCs w:val="24"/>
                  <w:u w:val="single"/>
                  <w:lang w:val="en-US"/>
                </w:rPr>
                <w:t>http://dfz.bg/bg/prsr-2014-2020/merki-podpomagane</w:t>
              </w:r>
            </w:hyperlink>
            <w:r w:rsidRPr="004E4316">
              <w:rPr>
                <w:sz w:val="24"/>
                <w:szCs w:val="24"/>
                <w:u w:val="single"/>
              </w:rPr>
              <w:t>-</w:t>
            </w:r>
            <w:r w:rsidRPr="004E4316">
              <w:rPr>
                <w:sz w:val="24"/>
                <w:szCs w:val="24"/>
                <w:u w:val="single"/>
                <w:lang w:val="en-GB"/>
              </w:rPr>
              <w:t>ISUN</w:t>
            </w:r>
            <w:r w:rsidRPr="00D76323">
              <w:rPr>
                <w:sz w:val="24"/>
                <w:szCs w:val="24"/>
                <w:lang w:val="en-US"/>
              </w:rPr>
              <w:t>)</w:t>
            </w:r>
            <w:r w:rsidRPr="00D76323">
              <w:rPr>
                <w:sz w:val="24"/>
                <w:szCs w:val="24"/>
              </w:rPr>
              <w:t xml:space="preserve">, в раздел </w:t>
            </w:r>
            <w:proofErr w:type="spellStart"/>
            <w:r w:rsidRPr="00D76323">
              <w:rPr>
                <w:sz w:val="24"/>
                <w:szCs w:val="24"/>
              </w:rPr>
              <w:t>Подмярка</w:t>
            </w:r>
            <w:proofErr w:type="spellEnd"/>
            <w:r w:rsidRPr="00D76323">
              <w:rPr>
                <w:sz w:val="24"/>
                <w:szCs w:val="24"/>
              </w:rPr>
              <w:t xml:space="preserve"> 19.2</w:t>
            </w:r>
            <w:r>
              <w:rPr>
                <w:sz w:val="24"/>
                <w:szCs w:val="24"/>
              </w:rPr>
              <w:t>;</w:t>
            </w:r>
          </w:p>
          <w:p w:rsidR="00F653A0" w:rsidRDefault="00F653A0" w:rsidP="00DE12A0">
            <w:pPr>
              <w:rPr>
                <w:sz w:val="24"/>
                <w:szCs w:val="24"/>
              </w:rPr>
            </w:pPr>
          </w:p>
          <w:p w:rsidR="00F653A0" w:rsidRDefault="00F653A0" w:rsidP="00DE12A0">
            <w:pPr>
              <w:rPr>
                <w:sz w:val="24"/>
                <w:szCs w:val="24"/>
              </w:rPr>
            </w:pPr>
            <w:r w:rsidRPr="00D367ED">
              <w:rPr>
                <w:sz w:val="24"/>
                <w:szCs w:val="24"/>
              </w:rPr>
              <w:t>Не се дава предимство, а даденото предимство се отнема, когато МИГ устан</w:t>
            </w:r>
            <w:r>
              <w:rPr>
                <w:sz w:val="24"/>
                <w:szCs w:val="24"/>
              </w:rPr>
              <w:t>ови, че кандидатът/ползвателят н</w:t>
            </w:r>
            <w:r w:rsidRPr="00D367ED">
              <w:rPr>
                <w:sz w:val="24"/>
                <w:szCs w:val="24"/>
              </w:rPr>
              <w:t xml:space="preserve">а помощта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proofErr w:type="spellStart"/>
            <w:r w:rsidRPr="00D367ED">
              <w:rPr>
                <w:sz w:val="24"/>
                <w:szCs w:val="24"/>
              </w:rPr>
              <w:t>подмярката</w:t>
            </w:r>
            <w:proofErr w:type="spellEnd"/>
            <w:r w:rsidRPr="00D367ED">
              <w:rPr>
                <w:sz w:val="24"/>
                <w:szCs w:val="24"/>
              </w:rPr>
              <w:t>.</w:t>
            </w:r>
          </w:p>
          <w:p w:rsidR="00F653A0" w:rsidRPr="000F3595" w:rsidRDefault="00F653A0" w:rsidP="00DE12A0">
            <w:pPr>
              <w:rPr>
                <w:i/>
                <w:sz w:val="24"/>
                <w:szCs w:val="24"/>
              </w:rPr>
            </w:pPr>
            <w:r w:rsidRPr="000F3595">
              <w:rPr>
                <w:i/>
                <w:sz w:val="24"/>
                <w:szCs w:val="24"/>
              </w:rPr>
              <w:t xml:space="preserve">Към момента на кандидатстване </w:t>
            </w:r>
            <w:r w:rsidRPr="00A37962">
              <w:rPr>
                <w:i/>
                <w:sz w:val="24"/>
                <w:szCs w:val="24"/>
              </w:rPr>
              <w:t>липсата на изкуствено създадени условия се доказва с декларация по образец</w:t>
            </w:r>
            <w:r>
              <w:rPr>
                <w:i/>
                <w:sz w:val="24"/>
                <w:szCs w:val="24"/>
              </w:rPr>
              <w:t xml:space="preserve"> </w:t>
            </w:r>
            <w:r w:rsidRPr="00DE6BFC">
              <w:rPr>
                <w:i/>
                <w:sz w:val="24"/>
                <w:szCs w:val="24"/>
              </w:rPr>
              <w:t>Приложение 3 към</w:t>
            </w:r>
            <w:r w:rsidRPr="000F3595">
              <w:rPr>
                <w:i/>
                <w:sz w:val="24"/>
                <w:szCs w:val="24"/>
              </w:rPr>
              <w:t xml:space="preserve"> Условията за кандидатстване.</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2"/>
      <w:bookmarkEnd w:id="23"/>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М7.</w:t>
            </w:r>
            <w:r w:rsidR="00010F72">
              <w:rPr>
                <w:sz w:val="24"/>
                <w:szCs w:val="24"/>
              </w:rPr>
              <w:t>5</w:t>
            </w:r>
            <w:r w:rsidRPr="00B570D1">
              <w:rPr>
                <w:sz w:val="24"/>
                <w:szCs w:val="24"/>
              </w:rPr>
              <w:t xml:space="preserve">. </w:t>
            </w:r>
            <w:r>
              <w:rPr>
                <w:sz w:val="24"/>
                <w:szCs w:val="24"/>
              </w:rPr>
              <w:t>„</w:t>
            </w:r>
            <w:r w:rsidR="00010F72" w:rsidRPr="00010F72">
              <w:rPr>
                <w:sz w:val="24"/>
                <w:szCs w:val="24"/>
              </w:rPr>
              <w:t>Инвестиции за публично ползване в инфраструктура за отдих, туристическа инфраструктура</w:t>
            </w:r>
            <w:r>
              <w:rPr>
                <w:sz w:val="24"/>
                <w:szCs w:val="24"/>
              </w:rPr>
              <w:t xml:space="preserve">“ от СВОМР на „МИГ </w:t>
            </w:r>
            <w:r w:rsidRPr="00A37962">
              <w:rPr>
                <w:sz w:val="24"/>
                <w:szCs w:val="24"/>
              </w:rPr>
              <w:t xml:space="preserve">– </w:t>
            </w:r>
            <w:r w:rsidR="00D03420" w:rsidRPr="00A37962">
              <w:rPr>
                <w:sz w:val="24"/>
                <w:szCs w:val="24"/>
              </w:rPr>
              <w:t>община</w:t>
            </w:r>
            <w:r w:rsidR="00D03420">
              <w:rPr>
                <w:sz w:val="24"/>
                <w:szCs w:val="24"/>
              </w:rPr>
              <w:t xml:space="preserve"> </w:t>
            </w:r>
            <w:r>
              <w:rPr>
                <w:sz w:val="24"/>
                <w:szCs w:val="24"/>
              </w:rPr>
              <w:t>Марица“</w:t>
            </w:r>
            <w:r w:rsidRPr="00B570D1">
              <w:rPr>
                <w:sz w:val="24"/>
                <w:szCs w:val="24"/>
              </w:rPr>
              <w:t xml:space="preserve"> </w:t>
            </w:r>
            <w:r w:rsidR="00010F72">
              <w:rPr>
                <w:sz w:val="24"/>
                <w:szCs w:val="24"/>
              </w:rPr>
              <w:t>допустими за финансиране са следните</w:t>
            </w:r>
            <w:r w:rsidRPr="00B570D1">
              <w:rPr>
                <w:sz w:val="24"/>
                <w:szCs w:val="24"/>
              </w:rPr>
              <w:t xml:space="preserve"> </w:t>
            </w:r>
            <w:r>
              <w:rPr>
                <w:sz w:val="24"/>
                <w:szCs w:val="24"/>
              </w:rPr>
              <w:t>разходи</w:t>
            </w:r>
            <w:r w:rsidRPr="00B570D1">
              <w:rPr>
                <w:sz w:val="24"/>
                <w:szCs w:val="24"/>
              </w:rPr>
              <w:t>:</w:t>
            </w:r>
          </w:p>
          <w:p w:rsidR="00F86891" w:rsidRPr="006B4928"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6B4928">
              <w:rPr>
                <w:sz w:val="24"/>
                <w:szCs w:val="24"/>
              </w:rPr>
              <w:t>Изграждане, включително отпускане</w:t>
            </w:r>
            <w:r w:rsidR="00F86891" w:rsidRPr="006B4928">
              <w:rPr>
                <w:sz w:val="24"/>
                <w:szCs w:val="24"/>
              </w:rPr>
              <w:t xml:space="preserve"> на лизинг, или подобренията на недвижимо </w:t>
            </w:r>
            <w:r w:rsidR="00F86891" w:rsidRPr="006B4928">
              <w:rPr>
                <w:sz w:val="24"/>
                <w:szCs w:val="24"/>
              </w:rPr>
              <w:lastRenderedPageBreak/>
              <w:t>имущество;</w:t>
            </w:r>
          </w:p>
          <w:p w:rsidR="00F86891" w:rsidRPr="006B4928"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Закупуване или вземане</w:t>
            </w:r>
            <w:r w:rsidR="00F86891" w:rsidRPr="006B4928">
              <w:rPr>
                <w:sz w:val="24"/>
                <w:szCs w:val="24"/>
              </w:rPr>
              <w:t xml:space="preserve"> на лизинг на нови машини и оборудване, обзавеждане до пазарната цена на актива;</w:t>
            </w:r>
          </w:p>
          <w:p w:rsidR="00F86891" w:rsidRPr="006B4928"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Немате</w:t>
            </w:r>
            <w:r w:rsidR="00C26FB8" w:rsidRPr="006B4928">
              <w:rPr>
                <w:sz w:val="24"/>
                <w:szCs w:val="24"/>
              </w:rPr>
              <w:t>риални инвестиции: придобиване</w:t>
            </w:r>
            <w:r w:rsidRPr="006B4928">
              <w:rPr>
                <w:sz w:val="24"/>
                <w:szCs w:val="24"/>
              </w:rPr>
              <w:t xml:space="preserve"> или развитието на компютърен софтуер и придобиването на патенти, лицензи, авторски права, търговски марки.</w:t>
            </w:r>
          </w:p>
          <w:p w:rsidR="00F86891" w:rsidRDefault="00F86891" w:rsidP="00F86891">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Общи разходи, свързани с изброените по-горе, например хонорари на архитекти, инженери и консултанти</w:t>
            </w:r>
            <w:r w:rsidRPr="0021555C">
              <w:rPr>
                <w:sz w:val="24"/>
                <w:szCs w:val="24"/>
              </w:rPr>
              <w:t>;</w:t>
            </w:r>
          </w:p>
          <w:p w:rsidR="00601077" w:rsidRPr="006B4928" w:rsidRDefault="00601077" w:rsidP="00601077">
            <w:pPr>
              <w:widowControl w:val="0"/>
              <w:autoSpaceDE w:val="0"/>
              <w:autoSpaceDN w:val="0"/>
              <w:adjustRightInd w:val="0"/>
              <w:spacing w:line="240" w:lineRule="auto"/>
              <w:contextualSpacing/>
              <w:rPr>
                <w:sz w:val="24"/>
                <w:szCs w:val="24"/>
              </w:rPr>
            </w:pPr>
            <w:r>
              <w:rPr>
                <w:sz w:val="24"/>
                <w:szCs w:val="24"/>
              </w:rPr>
              <w:t>Оперативните разходи, свързани с предоставянето на услугите са недопустими за подпомагане по мярката</w:t>
            </w:r>
            <w:r w:rsidR="00FD1276">
              <w:rPr>
                <w:sz w:val="24"/>
                <w:szCs w:val="24"/>
              </w:rPr>
              <w:t>.</w:t>
            </w:r>
          </w:p>
          <w:p w:rsidR="00593402" w:rsidRDefault="00BA1368" w:rsidP="00F86891">
            <w:pPr>
              <w:widowControl w:val="0"/>
              <w:autoSpaceDE w:val="0"/>
              <w:autoSpaceDN w:val="0"/>
              <w:adjustRightInd w:val="0"/>
              <w:spacing w:line="240" w:lineRule="auto"/>
              <w:rPr>
                <w:sz w:val="24"/>
                <w:szCs w:val="24"/>
              </w:rPr>
            </w:pPr>
            <w:r>
              <w:rPr>
                <w:sz w:val="24"/>
                <w:szCs w:val="24"/>
              </w:rPr>
              <w:t>Разходите за</w:t>
            </w:r>
            <w:r w:rsidR="00593402">
              <w:rPr>
                <w:sz w:val="24"/>
                <w:szCs w:val="24"/>
              </w:rPr>
              <w:t xml:space="preserve"> консултации, включени в разходите </w:t>
            </w:r>
            <w:r>
              <w:rPr>
                <w:sz w:val="24"/>
                <w:szCs w:val="24"/>
              </w:rPr>
              <w:t>по т.4</w:t>
            </w:r>
            <w:r w:rsidR="00593402">
              <w:rPr>
                <w:sz w:val="24"/>
                <w:szCs w:val="24"/>
              </w:rPr>
              <w:t xml:space="preserve"> и</w:t>
            </w:r>
            <w:r>
              <w:rPr>
                <w:sz w:val="24"/>
                <w:szCs w:val="24"/>
              </w:rPr>
              <w:t xml:space="preserve"> състоящи се в попълване на анализ разходи-ползи </w:t>
            </w:r>
            <w:r>
              <w:rPr>
                <w:sz w:val="24"/>
                <w:szCs w:val="24"/>
                <w:lang w:val="en-US"/>
              </w:rPr>
              <w:t>(</w:t>
            </w:r>
            <w:r>
              <w:rPr>
                <w:sz w:val="24"/>
                <w:szCs w:val="24"/>
              </w:rPr>
              <w:t>финансов анализ</w:t>
            </w:r>
            <w:r>
              <w:rPr>
                <w:sz w:val="24"/>
                <w:szCs w:val="24"/>
                <w:lang w:val="en-US"/>
              </w:rPr>
              <w:t>)</w:t>
            </w:r>
            <w:r>
              <w:rPr>
                <w:sz w:val="24"/>
                <w:szCs w:val="24"/>
              </w:rPr>
              <w:t xml:space="preserve">, извършване на </w:t>
            </w:r>
            <w:proofErr w:type="spellStart"/>
            <w:r>
              <w:rPr>
                <w:sz w:val="24"/>
                <w:szCs w:val="24"/>
              </w:rPr>
              <w:t>предпроектни</w:t>
            </w:r>
            <w:proofErr w:type="spellEnd"/>
            <w:r>
              <w:rPr>
                <w:sz w:val="24"/>
                <w:szCs w:val="24"/>
              </w:rPr>
              <w:t xml:space="preserve">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не следва да надхвърлят 5</w:t>
            </w:r>
            <w:r w:rsidR="00593402">
              <w:rPr>
                <w:sz w:val="24"/>
                <w:szCs w:val="24"/>
              </w:rPr>
              <w:t>% от стойността на допустимите разходи.</w:t>
            </w: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2B5CA4" w:rsidRDefault="00662912" w:rsidP="00F86891">
            <w:pPr>
              <w:widowControl w:val="0"/>
              <w:autoSpaceDE w:val="0"/>
              <w:autoSpaceDN w:val="0"/>
              <w:adjustRightInd w:val="0"/>
              <w:spacing w:line="240" w:lineRule="auto"/>
              <w:rPr>
                <w:sz w:val="24"/>
                <w:szCs w:val="24"/>
              </w:rPr>
            </w:pPr>
            <w:r>
              <w:rPr>
                <w:sz w:val="24"/>
                <w:szCs w:val="24"/>
              </w:rPr>
              <w:t>Разходите по т.</w:t>
            </w:r>
            <w:r w:rsidR="00634AB9">
              <w:rPr>
                <w:sz w:val="24"/>
                <w:szCs w:val="24"/>
              </w:rPr>
              <w:t xml:space="preserve"> </w:t>
            </w:r>
            <w:r>
              <w:rPr>
                <w:sz w:val="24"/>
                <w:szCs w:val="24"/>
              </w:rPr>
              <w:t>4 са допустими, ако са извършени не по-рано от 1 януари 2014</w:t>
            </w:r>
            <w:r w:rsidR="00634AB9">
              <w:rPr>
                <w:sz w:val="24"/>
                <w:szCs w:val="24"/>
              </w:rPr>
              <w:t xml:space="preserve"> </w:t>
            </w:r>
            <w:r>
              <w:rPr>
                <w:sz w:val="24"/>
                <w:szCs w:val="24"/>
              </w:rPr>
              <w:t xml:space="preserve">г., независимо дали </w:t>
            </w:r>
            <w:r w:rsidR="009319B3">
              <w:rPr>
                <w:sz w:val="24"/>
                <w:szCs w:val="24"/>
              </w:rPr>
              <w:t xml:space="preserve">всички свързани с тях плащания са направени. </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xml:space="preserve">, свързани с договора за лизинг, например марж на </w:t>
            </w:r>
            <w:proofErr w:type="spellStart"/>
            <w:r w:rsidRPr="00EF0714">
              <w:rPr>
                <w:sz w:val="24"/>
                <w:szCs w:val="24"/>
              </w:rPr>
              <w:t>лизингодателя</w:t>
            </w:r>
            <w:proofErr w:type="spellEnd"/>
            <w:r w:rsidRPr="00EF0714">
              <w:rPr>
                <w:sz w:val="24"/>
                <w:szCs w:val="24"/>
              </w:rPr>
              <w:t>, разходи за рефинансиране на лихви, административни разходи и разходи за застраховка 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Default="00F86891" w:rsidP="00F86891">
            <w:pPr>
              <w:widowControl w:val="0"/>
              <w:autoSpaceDE w:val="0"/>
              <w:autoSpaceDN w:val="0"/>
              <w:adjustRightInd w:val="0"/>
              <w:spacing w:line="240" w:lineRule="auto"/>
              <w:rPr>
                <w:sz w:val="24"/>
                <w:szCs w:val="24"/>
              </w:rPr>
            </w:pPr>
            <w:r w:rsidRPr="00F86891">
              <w:rPr>
                <w:sz w:val="24"/>
                <w:szCs w:val="24"/>
              </w:rPr>
              <w:t>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w:t>
            </w:r>
          </w:p>
          <w:p w:rsidR="008950D7" w:rsidRDefault="008950D7" w:rsidP="00F86891">
            <w:pPr>
              <w:widowControl w:val="0"/>
              <w:autoSpaceDE w:val="0"/>
              <w:autoSpaceDN w:val="0"/>
              <w:adjustRightInd w:val="0"/>
              <w:spacing w:line="240" w:lineRule="auto"/>
              <w:rPr>
                <w:sz w:val="24"/>
                <w:szCs w:val="24"/>
              </w:rPr>
            </w:pPr>
          </w:p>
          <w:p w:rsidR="00A86EA8" w:rsidRPr="00DE6BFC" w:rsidRDefault="00A86EA8" w:rsidP="00A86EA8">
            <w:pPr>
              <w:rPr>
                <w:b/>
                <w:sz w:val="24"/>
                <w:szCs w:val="24"/>
                <w:u w:val="single"/>
              </w:rPr>
            </w:pPr>
            <w:r w:rsidRPr="00DE6BFC">
              <w:rPr>
                <w:b/>
                <w:sz w:val="24"/>
                <w:szCs w:val="24"/>
                <w:u w:val="single"/>
              </w:rPr>
              <w:t>Разходите, включени в проектното предложение следва да са обосновани.</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Pr="00517B0E" w:rsidRDefault="009319B3" w:rsidP="009319B3">
            <w:pPr>
              <w:shd w:val="clear" w:color="auto" w:fill="FFFFFF"/>
              <w:spacing w:line="240" w:lineRule="auto"/>
              <w:rPr>
                <w:rFonts w:eastAsia="Calibri"/>
                <w:sz w:val="24"/>
                <w:szCs w:val="24"/>
                <w:lang w:eastAsia="en-US"/>
              </w:rPr>
            </w:pPr>
            <w:r w:rsidRPr="00517B0E">
              <w:rPr>
                <w:rFonts w:eastAsia="Calibri"/>
                <w:sz w:val="24"/>
                <w:szCs w:val="24"/>
                <w:lang w:eastAsia="en-US"/>
              </w:rPr>
              <w:t>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в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Default="009319B3" w:rsidP="009319B3">
            <w:pPr>
              <w:shd w:val="clear" w:color="auto" w:fill="FFFFFF"/>
              <w:spacing w:line="240" w:lineRule="auto"/>
              <w:rPr>
                <w:rFonts w:eastAsia="Calibri"/>
                <w:sz w:val="24"/>
                <w:szCs w:val="24"/>
                <w:lang w:eastAsia="en-US"/>
              </w:rPr>
            </w:pPr>
            <w:r w:rsidRPr="00517B0E">
              <w:rPr>
                <w:rFonts w:eastAsia="Calibri"/>
                <w:sz w:val="24"/>
                <w:szCs w:val="24"/>
                <w:lang w:eastAsia="en-US"/>
              </w:rPr>
              <w:t xml:space="preserve">В случай, че разходът, за който се кандидатства не е включен в списък с референтни разходи на ДФ „Земеделие“, то кандидатът следва </w:t>
            </w:r>
            <w:r w:rsidR="005E7066">
              <w:rPr>
                <w:rFonts w:eastAsia="Calibri"/>
                <w:sz w:val="24"/>
                <w:szCs w:val="24"/>
                <w:lang w:eastAsia="en-US"/>
              </w:rPr>
              <w:t xml:space="preserve">да </w:t>
            </w:r>
            <w:r w:rsidRPr="00517B0E">
              <w:rPr>
                <w:rFonts w:eastAsia="Calibri"/>
                <w:sz w:val="24"/>
                <w:szCs w:val="24"/>
                <w:lang w:eastAsia="en-US"/>
              </w:rPr>
              <w:t>осигур</w:t>
            </w:r>
            <w:r w:rsidR="005E7066">
              <w:rPr>
                <w:rFonts w:eastAsia="Calibri"/>
                <w:sz w:val="24"/>
                <w:szCs w:val="24"/>
                <w:lang w:eastAsia="en-US"/>
              </w:rPr>
              <w:t>и</w:t>
            </w:r>
            <w:r w:rsidRPr="00517B0E">
              <w:rPr>
                <w:rFonts w:eastAsia="Calibri"/>
                <w:sz w:val="24"/>
                <w:szCs w:val="24"/>
                <w:lang w:eastAsia="en-US"/>
              </w:rPr>
              <w:t xml:space="preserve"> най-малко три съпоставими независими индикативни оферти, които съдържат наименованието на </w:t>
            </w:r>
            <w:proofErr w:type="spellStart"/>
            <w:r w:rsidRPr="00517B0E">
              <w:rPr>
                <w:rFonts w:eastAsia="Calibri"/>
                <w:sz w:val="24"/>
                <w:szCs w:val="24"/>
                <w:lang w:eastAsia="en-US"/>
              </w:rPr>
              <w:t>оферента</w:t>
            </w:r>
            <w:proofErr w:type="spellEnd"/>
            <w:r w:rsidRPr="00517B0E">
              <w:rPr>
                <w:rFonts w:eastAsia="Calibri"/>
                <w:sz w:val="24"/>
                <w:szCs w:val="24"/>
                <w:lang w:eastAsia="en-US"/>
              </w:rPr>
              <w:t xml:space="preserve">, срока на валидност на офертата, датата на издаване на офертата, подпис и </w:t>
            </w:r>
            <w:r w:rsidRPr="003603B0">
              <w:rPr>
                <w:rFonts w:eastAsia="Calibri"/>
                <w:sz w:val="24"/>
                <w:szCs w:val="24"/>
                <w:lang w:eastAsia="en-US"/>
              </w:rPr>
              <w:t xml:space="preserve">печат на </w:t>
            </w:r>
            <w:proofErr w:type="spellStart"/>
            <w:r w:rsidRPr="003603B0">
              <w:rPr>
                <w:rFonts w:eastAsia="Calibri"/>
                <w:sz w:val="24"/>
                <w:szCs w:val="24"/>
                <w:lang w:eastAsia="en-US"/>
              </w:rPr>
              <w:t>оферента</w:t>
            </w:r>
            <w:proofErr w:type="spellEnd"/>
            <w:r w:rsidRPr="003603B0">
              <w:rPr>
                <w:rFonts w:eastAsia="Calibri"/>
                <w:sz w:val="24"/>
                <w:szCs w:val="24"/>
                <w:lang w:eastAsia="en-US"/>
              </w:rPr>
              <w:t>, подобна техническа спецификация на активите/услугите, цена в</w:t>
            </w:r>
            <w:r w:rsidRPr="0021555C">
              <w:rPr>
                <w:rFonts w:eastAsia="Calibri"/>
                <w:sz w:val="24"/>
                <w:szCs w:val="24"/>
                <w:lang w:eastAsia="en-US"/>
              </w:rPr>
              <w:t xml:space="preserve"> левове или евро с посочен ДДС.</w:t>
            </w:r>
          </w:p>
          <w:p w:rsidR="00517B0E" w:rsidRDefault="00517B0E" w:rsidP="009319B3">
            <w:pPr>
              <w:shd w:val="clear" w:color="auto" w:fill="FFFFFF"/>
              <w:spacing w:line="240" w:lineRule="auto"/>
              <w:rPr>
                <w:rFonts w:eastAsia="Calibri"/>
                <w:sz w:val="22"/>
                <w:szCs w:val="22"/>
                <w:lang w:eastAsia="en-US"/>
              </w:rPr>
            </w:pP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b/>
                <w:i/>
                <w:sz w:val="24"/>
                <w:szCs w:val="24"/>
                <w:lang w:eastAsia="en-US"/>
              </w:rPr>
              <w:t>Съпоставими оферти</w:t>
            </w:r>
            <w:r w:rsidRPr="00DE6BFC">
              <w:rPr>
                <w:rFonts w:eastAsia="Calibri"/>
                <w:i/>
                <w:sz w:val="24"/>
                <w:szCs w:val="24"/>
                <w:lang w:eastAsia="en-US"/>
              </w:rPr>
              <w:t xml:space="preserve"> са оферти, които отговарят на запитването за оферта на кандидата и съдържат:</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оборудване и обзавеждане;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съставени от различни съоръжения и/или оборудване;</w:t>
            </w:r>
          </w:p>
          <w:p w:rsidR="00947145"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394FEE" w:rsidRPr="00DE6BFC" w:rsidRDefault="00394FEE" w:rsidP="00947145">
            <w:pPr>
              <w:shd w:val="clear" w:color="auto" w:fill="FFFFFF"/>
              <w:spacing w:line="240" w:lineRule="auto"/>
              <w:rPr>
                <w:rFonts w:eastAsia="Calibri"/>
                <w:i/>
                <w:sz w:val="24"/>
                <w:szCs w:val="24"/>
                <w:lang w:eastAsia="en-US"/>
              </w:rPr>
            </w:pP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b/>
                <w:i/>
                <w:sz w:val="24"/>
                <w:szCs w:val="24"/>
                <w:lang w:eastAsia="en-US"/>
              </w:rPr>
              <w:t>Независими оферти</w:t>
            </w:r>
            <w:r w:rsidRPr="00DE12A0">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а) едното участва в управлението на дружеството на другото;</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 xml:space="preserve">б) </w:t>
            </w:r>
            <w:proofErr w:type="spellStart"/>
            <w:r w:rsidRPr="00DE12A0">
              <w:rPr>
                <w:rFonts w:eastAsia="Calibri"/>
                <w:i/>
                <w:sz w:val="24"/>
                <w:szCs w:val="24"/>
                <w:lang w:eastAsia="en-US"/>
              </w:rPr>
              <w:t>съдружници</w:t>
            </w:r>
            <w:proofErr w:type="spellEnd"/>
            <w:r w:rsidRPr="00DE12A0">
              <w:rPr>
                <w:rFonts w:eastAsia="Calibri"/>
                <w:i/>
                <w:sz w:val="24"/>
                <w:szCs w:val="24"/>
                <w:lang w:eastAsia="en-US"/>
              </w:rPr>
              <w:t>;</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в) съвместно контролират пряко трето лице;</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условия, различни от обичайните;</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е) лицата, чиято дейност се контролира пряко или косвено от трето лице – физическо или юридическо;</w:t>
            </w:r>
          </w:p>
          <w:p w:rsidR="00DE12A0" w:rsidRPr="00DE12A0" w:rsidRDefault="00DE12A0" w:rsidP="00DE12A0">
            <w:pPr>
              <w:shd w:val="clear" w:color="auto" w:fill="FFFFFF"/>
              <w:spacing w:line="240" w:lineRule="auto"/>
              <w:rPr>
                <w:rFonts w:eastAsia="Calibri"/>
                <w:i/>
                <w:sz w:val="24"/>
                <w:szCs w:val="24"/>
                <w:lang w:eastAsia="en-US"/>
              </w:rPr>
            </w:pPr>
            <w:r w:rsidRPr="00DE12A0">
              <w:rPr>
                <w:rFonts w:eastAsia="Calibri"/>
                <w:i/>
                <w:sz w:val="24"/>
                <w:szCs w:val="24"/>
                <w:lang w:eastAsia="en-US"/>
              </w:rPr>
              <w:t>ж) лицата, едното от които е търговски представител на другото.</w:t>
            </w:r>
          </w:p>
          <w:p w:rsidR="00947145" w:rsidRPr="009319B3" w:rsidRDefault="00947145" w:rsidP="009319B3">
            <w:pPr>
              <w:shd w:val="clear" w:color="auto" w:fill="FFFFFF"/>
              <w:spacing w:line="240" w:lineRule="auto"/>
              <w:rPr>
                <w:rFonts w:eastAsia="Calibri"/>
                <w:sz w:val="22"/>
                <w:szCs w:val="22"/>
                <w:lang w:eastAsia="en-US"/>
              </w:rPr>
            </w:pPr>
          </w:p>
          <w:p w:rsidR="00DE12A0" w:rsidRPr="00DE12A0" w:rsidRDefault="003B32F0" w:rsidP="00DE12A0">
            <w:pPr>
              <w:shd w:val="clear" w:color="auto" w:fill="FFFFFF"/>
              <w:spacing w:after="240" w:line="240" w:lineRule="auto"/>
              <w:rPr>
                <w:rFonts w:eastAsia="Calibri"/>
                <w:sz w:val="24"/>
                <w:szCs w:val="24"/>
                <w:lang w:eastAsia="en-US"/>
              </w:rPr>
            </w:pPr>
            <w:r w:rsidRPr="000F67CD">
              <w:rPr>
                <w:rFonts w:eastAsia="Calibri"/>
                <w:sz w:val="24"/>
                <w:szCs w:val="24"/>
                <w:lang w:eastAsia="en-US"/>
              </w:rPr>
              <w:t>Кандидати</w:t>
            </w:r>
            <w:r w:rsidR="00952967" w:rsidRPr="000F67CD">
              <w:rPr>
                <w:rFonts w:eastAsia="Calibri"/>
                <w:sz w:val="24"/>
                <w:szCs w:val="24"/>
                <w:lang w:eastAsia="en-US"/>
              </w:rPr>
              <w:t>те</w:t>
            </w:r>
            <w:r w:rsidRPr="000F67CD">
              <w:rPr>
                <w:rFonts w:eastAsia="Calibri"/>
                <w:b/>
                <w:sz w:val="24"/>
                <w:szCs w:val="24"/>
                <w:lang w:eastAsia="en-US"/>
              </w:rPr>
              <w:t xml:space="preserve"> </w:t>
            </w:r>
            <w:r w:rsidRPr="000F67CD">
              <w:rPr>
                <w:rFonts w:eastAsia="Calibri"/>
                <w:sz w:val="24"/>
                <w:szCs w:val="24"/>
                <w:lang w:eastAsia="en-US"/>
              </w:rPr>
              <w:t>набират и</w:t>
            </w:r>
            <w:r w:rsidR="009319B3" w:rsidRPr="000F67CD">
              <w:rPr>
                <w:rFonts w:eastAsia="Calibri"/>
                <w:sz w:val="24"/>
                <w:szCs w:val="24"/>
                <w:lang w:eastAsia="en-US"/>
              </w:rPr>
              <w:t xml:space="preserve">ндикативни ценови предложения </w:t>
            </w:r>
            <w:r w:rsidR="00DE12A0">
              <w:rPr>
                <w:rFonts w:eastAsia="Calibri"/>
                <w:sz w:val="24"/>
                <w:szCs w:val="24"/>
                <w:lang w:eastAsia="en-US"/>
              </w:rPr>
              <w:t xml:space="preserve">чрез провеждане на пазарно проучване или чрез прилагане на принципа за провеждане на пазарни консултации </w:t>
            </w:r>
            <w:r w:rsidR="00DE12A0" w:rsidRPr="00DE12A0">
              <w:rPr>
                <w:rFonts w:eastAsia="Calibri"/>
                <w:sz w:val="24"/>
                <w:szCs w:val="24"/>
                <w:lang w:eastAsia="en-US"/>
              </w:rPr>
              <w:t>съгласно</w:t>
            </w:r>
            <w:r w:rsidR="00DE12A0">
              <w:rPr>
                <w:rFonts w:eastAsia="Calibri"/>
                <w:sz w:val="24"/>
                <w:szCs w:val="24"/>
                <w:lang w:eastAsia="en-US"/>
              </w:rPr>
              <w:t xml:space="preserve"> ЗОП</w:t>
            </w:r>
            <w:r w:rsidR="009319B3" w:rsidRPr="000F67CD">
              <w:rPr>
                <w:rFonts w:eastAsia="Calibri"/>
                <w:sz w:val="24"/>
                <w:szCs w:val="24"/>
                <w:lang w:eastAsia="en-US"/>
              </w:rPr>
              <w:t>.</w:t>
            </w:r>
            <w:r w:rsidR="00DE12A0" w:rsidRPr="00DE12A0">
              <w:rPr>
                <w:rFonts w:eastAsia="Calibri"/>
                <w:sz w:val="24"/>
                <w:szCs w:val="24"/>
                <w:lang w:eastAsia="en-US"/>
              </w:rPr>
              <w:t xml:space="preserve"> При провеждане на пазарни консултации съгласно ЗОП, кандидатите следва да оповестят резултатите от провеждането им по реда чл.3</w:t>
            </w:r>
            <w:r w:rsidR="000A2748">
              <w:rPr>
                <w:rFonts w:eastAsia="Calibri"/>
                <w:sz w:val="24"/>
                <w:szCs w:val="24"/>
                <w:lang w:eastAsia="en-US"/>
              </w:rPr>
              <w:t>6</w:t>
            </w:r>
            <w:r w:rsidR="00DE12A0" w:rsidRPr="00DE12A0">
              <w:rPr>
                <w:rFonts w:eastAsia="Calibri"/>
                <w:sz w:val="24"/>
                <w:szCs w:val="24"/>
                <w:lang w:eastAsia="en-US"/>
              </w:rPr>
              <w:t>а</w:t>
            </w:r>
            <w:r w:rsidR="000A2748">
              <w:rPr>
                <w:rFonts w:eastAsia="Calibri"/>
                <w:sz w:val="24"/>
                <w:szCs w:val="24"/>
                <w:lang w:eastAsia="en-US"/>
              </w:rPr>
              <w:t>,</w:t>
            </w:r>
            <w:r w:rsidR="00DE12A0" w:rsidRPr="00DE12A0">
              <w:rPr>
                <w:rFonts w:eastAsia="Calibri"/>
                <w:sz w:val="24"/>
                <w:szCs w:val="24"/>
                <w:lang w:eastAsia="en-US"/>
              </w:rPr>
              <w:t xml:space="preserve"> ал.1 от ЗОП.</w:t>
            </w:r>
          </w:p>
          <w:p w:rsidR="009319B3" w:rsidRPr="003B32F0" w:rsidRDefault="00DE12A0" w:rsidP="00DE12A0">
            <w:pPr>
              <w:shd w:val="clear" w:color="auto" w:fill="FFFFFF"/>
              <w:spacing w:after="240" w:line="240" w:lineRule="auto"/>
              <w:rPr>
                <w:rFonts w:eastAsia="Calibri"/>
                <w:sz w:val="24"/>
                <w:szCs w:val="24"/>
                <w:lang w:eastAsia="en-US"/>
              </w:rPr>
            </w:pPr>
            <w:r w:rsidRPr="00DE12A0">
              <w:rPr>
                <w:rFonts w:eastAsia="Calibri"/>
                <w:sz w:val="24"/>
                <w:szCs w:val="24"/>
                <w:lang w:eastAsia="en-US"/>
              </w:rPr>
              <w:t>При представянето на индикативни ценови предложения, в случай че са изпълнени условията на чл. 50, ал. 2 от Закона за управление на средствата от европейските структурни и инвестиционни фондове, участниците на пазара, следва да декларират</w:t>
            </w:r>
            <w:r w:rsidRPr="00DE12A0">
              <w:rPr>
                <w:sz w:val="24"/>
                <w:szCs w:val="24"/>
              </w:rPr>
              <w:t xml:space="preserve"> </w:t>
            </w:r>
            <w:r w:rsidRPr="00DE12A0">
              <w:rPr>
                <w:rFonts w:eastAsia="Calibri"/>
                <w:sz w:val="24"/>
                <w:szCs w:val="24"/>
                <w:lang w:eastAsia="en-US"/>
              </w:rPr>
              <w:t>в предоставените от тях оферти, че нямат предимство пред останалите участници при провеждането на процедура за избор на изпълнител съгласно Постановление № 160 на МС от 01.07.2016 г.</w:t>
            </w:r>
          </w:p>
          <w:p w:rsidR="009319B3" w:rsidRPr="003B32F0" w:rsidRDefault="009319B3" w:rsidP="009319B3">
            <w:pPr>
              <w:shd w:val="clear" w:color="auto" w:fill="FFFFFF"/>
              <w:spacing w:line="240" w:lineRule="auto"/>
              <w:rPr>
                <w:rFonts w:eastAsia="Calibri"/>
                <w:sz w:val="24"/>
                <w:szCs w:val="24"/>
                <w:lang w:eastAsia="en-US"/>
              </w:rPr>
            </w:pPr>
            <w:r w:rsidRPr="003B32F0">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Default="009319B3" w:rsidP="009319B3">
            <w:pPr>
              <w:shd w:val="clear" w:color="auto" w:fill="FFFFFF"/>
              <w:spacing w:line="240" w:lineRule="auto"/>
              <w:rPr>
                <w:rFonts w:eastAsia="Calibri"/>
                <w:sz w:val="24"/>
                <w:szCs w:val="24"/>
                <w:lang w:val="en-GB" w:eastAsia="en-US"/>
              </w:rPr>
            </w:pPr>
            <w:r w:rsidRPr="003B32F0">
              <w:rPr>
                <w:rFonts w:eastAsia="Calibr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3B32F0">
              <w:rPr>
                <w:rFonts w:eastAsia="Calibri"/>
                <w:sz w:val="24"/>
                <w:szCs w:val="24"/>
                <w:lang w:val="en-US" w:eastAsia="en-US"/>
              </w:rPr>
              <w:t>(</w:t>
            </w:r>
            <w:r w:rsidRPr="003B32F0">
              <w:rPr>
                <w:rFonts w:eastAsia="Calibri"/>
                <w:sz w:val="24"/>
                <w:szCs w:val="24"/>
                <w:lang w:eastAsia="en-US"/>
              </w:rPr>
              <w:t>предварителен/окончателен</w:t>
            </w:r>
            <w:r w:rsidRPr="003B32F0">
              <w:rPr>
                <w:rFonts w:eastAsia="Calibri"/>
                <w:sz w:val="24"/>
                <w:szCs w:val="24"/>
                <w:lang w:val="en-US" w:eastAsia="en-US"/>
              </w:rPr>
              <w:t>)</w:t>
            </w:r>
            <w:r w:rsidRPr="003B32F0">
              <w:rPr>
                <w:rFonts w:eastAsia="Calibri"/>
                <w:sz w:val="24"/>
                <w:szCs w:val="24"/>
                <w:lang w:eastAsia="en-US"/>
              </w:rPr>
              <w:t xml:space="preserve"> с избрания доставчик. Изборът на изпълнител се </w:t>
            </w:r>
            <w:r w:rsidRPr="003B32F0">
              <w:rPr>
                <w:rFonts w:eastAsia="Calibri"/>
                <w:sz w:val="24"/>
                <w:szCs w:val="24"/>
                <w:lang w:eastAsia="en-US"/>
              </w:rPr>
              <w:lastRenderedPageBreak/>
              <w:t>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3B32F0">
              <w:rPr>
                <w:rFonts w:eastAsia="Calibri"/>
                <w:sz w:val="24"/>
                <w:szCs w:val="24"/>
                <w:lang w:val="en-US" w:eastAsia="en-US"/>
              </w:rPr>
              <w:t>)</w:t>
            </w:r>
            <w:r w:rsidRPr="003B32F0">
              <w:rPr>
                <w:rFonts w:eastAsia="Calibri"/>
                <w:sz w:val="24"/>
                <w:szCs w:val="24"/>
                <w:lang w:eastAsia="en-US"/>
              </w:rPr>
              <w:t xml:space="preserve"> най-ниска предложена цена, б</w:t>
            </w:r>
            <w:r w:rsidRPr="003B32F0">
              <w:rPr>
                <w:rFonts w:eastAsia="Calibri"/>
                <w:sz w:val="24"/>
                <w:szCs w:val="24"/>
                <w:lang w:val="en-US" w:eastAsia="en-US"/>
              </w:rPr>
              <w:t>)</w:t>
            </w:r>
            <w:r w:rsidRPr="003B32F0">
              <w:rPr>
                <w:rFonts w:eastAsia="Calibri"/>
                <w:sz w:val="24"/>
                <w:szCs w:val="24"/>
                <w:lang w:eastAsia="en-US"/>
              </w:rPr>
              <w:t xml:space="preserve"> ниво на разходите, като се отчита разходната ефективност, включително разходите за целия жизнен цикъл, в</w:t>
            </w:r>
            <w:r w:rsidRPr="003B32F0">
              <w:rPr>
                <w:rFonts w:eastAsia="Calibri"/>
                <w:sz w:val="24"/>
                <w:szCs w:val="24"/>
                <w:lang w:val="en-US" w:eastAsia="en-US"/>
              </w:rPr>
              <w:t>)</w:t>
            </w:r>
            <w:r w:rsidRPr="003B32F0">
              <w:rPr>
                <w:rFonts w:eastAsia="Calibri"/>
                <w:sz w:val="24"/>
                <w:szCs w:val="24"/>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2A3AE5" w:rsidRDefault="00331E22" w:rsidP="0059430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594301">
              <w:rPr>
                <w:b/>
                <w:sz w:val="24"/>
                <w:szCs w:val="24"/>
              </w:rPr>
              <w:t>ВАЖНО!</w:t>
            </w:r>
            <w:r w:rsidRPr="00594301">
              <w:rPr>
                <w:sz w:val="24"/>
                <w:szCs w:val="24"/>
              </w:rPr>
              <w:t xml:space="preserve"> </w:t>
            </w:r>
          </w:p>
          <w:p w:rsidR="003E2393" w:rsidRDefault="003E2393" w:rsidP="0059430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3E2393">
              <w:rPr>
                <w:sz w:val="24"/>
                <w:szCs w:val="24"/>
              </w:rPr>
              <w:t xml:space="preserve">Относно третирането на ДДС по процедурата </w:t>
            </w:r>
            <w:r>
              <w:rPr>
                <w:sz w:val="24"/>
                <w:szCs w:val="24"/>
              </w:rPr>
              <w:t>следва да се има предвид, че:</w:t>
            </w:r>
          </w:p>
          <w:p w:rsidR="003E2393" w:rsidRDefault="003E2393"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2A3AE5">
              <w:rPr>
                <w:b/>
                <w:sz w:val="24"/>
                <w:szCs w:val="24"/>
              </w:rPr>
              <w:t>"Невъзстановим ДДС"</w:t>
            </w:r>
            <w:r w:rsidRPr="003E2393">
              <w:rPr>
                <w:sz w:val="24"/>
                <w:szCs w:val="24"/>
              </w:rPr>
              <w:t xml:space="preserve"> е ДДС, неподлежащ на възстановяване от компетентен орган по приходите съгласно разпоредбите на ЗДДС, и представлява допустим разход по тази </w:t>
            </w:r>
            <w:r w:rsidR="000D5458">
              <w:rPr>
                <w:sz w:val="24"/>
                <w:szCs w:val="24"/>
              </w:rPr>
              <w:t>процедура</w:t>
            </w:r>
            <w:r w:rsidRPr="003E2393">
              <w:rPr>
                <w:sz w:val="24"/>
                <w:szCs w:val="24"/>
              </w:rPr>
              <w:t>.</w:t>
            </w:r>
          </w:p>
          <w:p w:rsidR="003E2393" w:rsidRDefault="003E2393"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2A3AE5">
              <w:rPr>
                <w:b/>
                <w:sz w:val="24"/>
                <w:szCs w:val="24"/>
              </w:rPr>
              <w:t>"Възстановим ДДС"</w:t>
            </w:r>
            <w:r w:rsidRPr="003E2393">
              <w:rPr>
                <w:sz w:val="24"/>
                <w:szCs w:val="24"/>
              </w:rPr>
              <w:t xml:space="preserve"> е ДДС, подлежащ на възстановяване от компетентен орган по приходите съгласно разпоредбите на ЗДДС, и представлява недопустим разход по тази </w:t>
            </w:r>
            <w:r w:rsidR="000D5458">
              <w:rPr>
                <w:sz w:val="24"/>
                <w:szCs w:val="24"/>
              </w:rPr>
              <w:t>процедура</w:t>
            </w:r>
            <w:r w:rsidRPr="003E2393">
              <w:rPr>
                <w:sz w:val="24"/>
                <w:szCs w:val="24"/>
              </w:rPr>
              <w:t>.</w:t>
            </w:r>
          </w:p>
          <w:p w:rsidR="00550645" w:rsidRPr="00331E22" w:rsidRDefault="00331E22" w:rsidP="00331E22">
            <w:pPr>
              <w:spacing w:line="240" w:lineRule="auto"/>
              <w:rPr>
                <w:b/>
                <w:bCs/>
                <w:sz w:val="24"/>
                <w:szCs w:val="24"/>
                <w:highlight w:val="white"/>
                <w:shd w:val="clear" w:color="auto" w:fill="FEFEFE"/>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 xml:space="preserve">чл. 21, от  Наредба </w:t>
            </w:r>
            <w:r w:rsidR="009F43A5" w:rsidRPr="00B47687">
              <w:rPr>
                <w:b/>
                <w:sz w:val="24"/>
                <w:szCs w:val="24"/>
              </w:rPr>
              <w:t>№</w:t>
            </w:r>
            <w:r w:rsidR="009F43A5">
              <w:rPr>
                <w:b/>
                <w:sz w:val="24"/>
                <w:szCs w:val="24"/>
              </w:rPr>
              <w:t xml:space="preserve"> </w:t>
            </w:r>
            <w:r w:rsidRPr="00331E22">
              <w:rPr>
                <w:b/>
                <w:sz w:val="24"/>
                <w:szCs w:val="24"/>
              </w:rPr>
              <w:t>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26" w:name="_Toc479577164"/>
      <w:bookmarkStart w:id="27" w:name="_Toc508719516"/>
      <w:bookmarkStart w:id="28" w:name="_Toc479577165"/>
      <w:bookmarkStart w:id="29"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(ако е приложимо):</w:t>
      </w:r>
      <w:bookmarkEnd w:id="26"/>
      <w:bookmarkEnd w:id="27"/>
    </w:p>
    <w:tbl>
      <w:tblPr>
        <w:tblStyle w:val="a3"/>
        <w:tblW w:w="0" w:type="auto"/>
        <w:tblLook w:val="04A0" w:firstRow="1" w:lastRow="0" w:firstColumn="1" w:lastColumn="0" w:noHBand="0" w:noVBand="1"/>
      </w:tblPr>
      <w:tblGrid>
        <w:gridCol w:w="9288"/>
      </w:tblGrid>
      <w:tr w:rsidR="00294624" w:rsidTr="006B4928">
        <w:trPr>
          <w:trHeight w:val="309"/>
        </w:trPr>
        <w:tc>
          <w:tcPr>
            <w:tcW w:w="9770" w:type="dxa"/>
          </w:tcPr>
          <w:p w:rsidR="00294624" w:rsidRPr="006B4928" w:rsidRDefault="006B4928" w:rsidP="006B4928">
            <w:pPr>
              <w:rPr>
                <w:sz w:val="24"/>
                <w:szCs w:val="24"/>
              </w:rPr>
            </w:pPr>
            <w:r>
              <w:rPr>
                <w:sz w:val="24"/>
                <w:szCs w:val="24"/>
              </w:rPr>
              <w:t>Неприложимо</w:t>
            </w:r>
          </w:p>
        </w:tc>
      </w:tr>
    </w:tbl>
    <w:p w:rsidR="00F2672E" w:rsidRPr="006B4928" w:rsidRDefault="008B110E" w:rsidP="00721D8C">
      <w:pPr>
        <w:pStyle w:val="1"/>
        <w:numPr>
          <w:ilvl w:val="0"/>
          <w:numId w:val="0"/>
        </w:numPr>
        <w:jc w:val="both"/>
        <w:rPr>
          <w:rFonts w:ascii="Times New Roman" w:hAnsi="Times New Roman" w:cs="Times New Roman"/>
          <w:color w:val="auto"/>
          <w:sz w:val="24"/>
          <w:szCs w:val="24"/>
        </w:rPr>
      </w:pPr>
      <w:r w:rsidRPr="006B4928">
        <w:rPr>
          <w:rFonts w:ascii="Times New Roman" w:hAnsi="Times New Roman" w:cs="Times New Roman"/>
          <w:color w:val="auto"/>
          <w:sz w:val="24"/>
          <w:szCs w:val="24"/>
        </w:rPr>
        <w:t>16.</w:t>
      </w:r>
      <w:r w:rsidR="0035465F" w:rsidRPr="006B4928">
        <w:rPr>
          <w:rFonts w:ascii="Times New Roman" w:hAnsi="Times New Roman" w:cs="Times New Roman"/>
          <w:color w:val="auto"/>
          <w:sz w:val="24"/>
          <w:szCs w:val="24"/>
        </w:rPr>
        <w:t xml:space="preserve"> </w:t>
      </w:r>
      <w:r w:rsidR="00F2672E" w:rsidRPr="006B4928">
        <w:rPr>
          <w:rFonts w:ascii="Times New Roman" w:hAnsi="Times New Roman" w:cs="Times New Roman"/>
          <w:color w:val="auto"/>
          <w:sz w:val="24"/>
          <w:szCs w:val="24"/>
        </w:rPr>
        <w:t>Приложим режим на минимални/държавни помощи</w:t>
      </w:r>
      <w:bookmarkEnd w:id="28"/>
      <w:bookmarkEnd w:id="29"/>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AA57CF" w:rsidRDefault="0045480D" w:rsidP="00723C24">
            <w:pPr>
              <w:spacing w:line="240" w:lineRule="auto"/>
              <w:rPr>
                <w:b/>
                <w:sz w:val="24"/>
                <w:szCs w:val="24"/>
                <w:lang w:val="ru-RU" w:eastAsia="en-US"/>
              </w:rPr>
            </w:pPr>
            <w:r>
              <w:rPr>
                <w:sz w:val="24"/>
                <w:szCs w:val="24"/>
                <w:lang w:val="ru-RU" w:eastAsia="en-US"/>
              </w:rPr>
              <w:t>По</w:t>
            </w:r>
            <w:r w:rsidR="00723C24" w:rsidRPr="00723C24">
              <w:rPr>
                <w:sz w:val="24"/>
                <w:szCs w:val="24"/>
                <w:lang w:val="ru-RU" w:eastAsia="en-US"/>
              </w:rPr>
              <w:t xml:space="preserve"> </w:t>
            </w:r>
            <w:proofErr w:type="spellStart"/>
            <w:r w:rsidR="00723C24" w:rsidRPr="00723C24">
              <w:rPr>
                <w:sz w:val="24"/>
                <w:szCs w:val="24"/>
                <w:lang w:val="ru-RU" w:eastAsia="en-US"/>
              </w:rPr>
              <w:t>мярка</w:t>
            </w:r>
            <w:proofErr w:type="spellEnd"/>
            <w:r w:rsidR="00723C24" w:rsidRPr="00723C24">
              <w:rPr>
                <w:sz w:val="24"/>
                <w:szCs w:val="24"/>
                <w:lang w:val="ru-RU" w:eastAsia="en-US"/>
              </w:rPr>
              <w:t xml:space="preserve"> 7.5. «Инвестиции </w:t>
            </w:r>
            <w:proofErr w:type="gramStart"/>
            <w:r w:rsidR="00723C24" w:rsidRPr="00723C24">
              <w:rPr>
                <w:sz w:val="24"/>
                <w:szCs w:val="24"/>
                <w:lang w:val="ru-RU" w:eastAsia="en-US"/>
              </w:rPr>
              <w:t>за</w:t>
            </w:r>
            <w:proofErr w:type="gramEnd"/>
            <w:r w:rsidR="00723C24" w:rsidRPr="00723C24">
              <w:rPr>
                <w:sz w:val="24"/>
                <w:szCs w:val="24"/>
                <w:lang w:val="ru-RU" w:eastAsia="en-US"/>
              </w:rPr>
              <w:t xml:space="preserve"> публично </w:t>
            </w:r>
            <w:proofErr w:type="spellStart"/>
            <w:r w:rsidR="00723C24" w:rsidRPr="00723C24">
              <w:rPr>
                <w:sz w:val="24"/>
                <w:szCs w:val="24"/>
                <w:lang w:val="ru-RU" w:eastAsia="en-US"/>
              </w:rPr>
              <w:t>ползване</w:t>
            </w:r>
            <w:proofErr w:type="spellEnd"/>
            <w:r w:rsidR="00723C24" w:rsidRPr="00723C24">
              <w:rPr>
                <w:sz w:val="24"/>
                <w:szCs w:val="24"/>
                <w:lang w:val="ru-RU" w:eastAsia="en-US"/>
              </w:rPr>
              <w:t xml:space="preserve"> </w:t>
            </w:r>
            <w:proofErr w:type="gramStart"/>
            <w:r w:rsidR="00723C24" w:rsidRPr="00723C24">
              <w:rPr>
                <w:sz w:val="24"/>
                <w:szCs w:val="24"/>
                <w:lang w:val="ru-RU" w:eastAsia="en-US"/>
              </w:rPr>
              <w:t>в</w:t>
            </w:r>
            <w:proofErr w:type="gramEnd"/>
            <w:r w:rsidR="00723C24" w:rsidRPr="00723C24">
              <w:rPr>
                <w:sz w:val="24"/>
                <w:szCs w:val="24"/>
                <w:lang w:val="ru-RU" w:eastAsia="en-US"/>
              </w:rPr>
              <w:t xml:space="preserve"> инфраструктура за </w:t>
            </w:r>
            <w:proofErr w:type="spellStart"/>
            <w:r w:rsidR="00723C24" w:rsidRPr="00723C24">
              <w:rPr>
                <w:sz w:val="24"/>
                <w:szCs w:val="24"/>
                <w:lang w:val="ru-RU" w:eastAsia="en-US"/>
              </w:rPr>
              <w:t>отдих</w:t>
            </w:r>
            <w:proofErr w:type="spellEnd"/>
            <w:r w:rsidR="00723C24" w:rsidRPr="00723C24">
              <w:rPr>
                <w:sz w:val="24"/>
                <w:szCs w:val="24"/>
                <w:lang w:val="ru-RU" w:eastAsia="en-US"/>
              </w:rPr>
              <w:t xml:space="preserve">, </w:t>
            </w:r>
            <w:proofErr w:type="spellStart"/>
            <w:r w:rsidR="00723C24" w:rsidRPr="00723C24">
              <w:rPr>
                <w:sz w:val="24"/>
                <w:szCs w:val="24"/>
                <w:lang w:val="ru-RU" w:eastAsia="en-US"/>
              </w:rPr>
              <w:t>туристическа</w:t>
            </w:r>
            <w:proofErr w:type="spellEnd"/>
            <w:r w:rsidR="00723C24" w:rsidRPr="00723C24">
              <w:rPr>
                <w:sz w:val="24"/>
                <w:szCs w:val="24"/>
                <w:lang w:val="ru-RU" w:eastAsia="en-US"/>
              </w:rPr>
              <w:t xml:space="preserve"> инфраструктура» от СВОМР на МИГ – Община </w:t>
            </w:r>
            <w:proofErr w:type="spellStart"/>
            <w:r w:rsidR="00723C24" w:rsidRPr="00723C24">
              <w:rPr>
                <w:sz w:val="24"/>
                <w:szCs w:val="24"/>
                <w:lang w:val="ru-RU" w:eastAsia="en-US"/>
              </w:rPr>
              <w:t>Марица</w:t>
            </w:r>
            <w:proofErr w:type="spellEnd"/>
            <w:r w:rsidR="00723C24" w:rsidRPr="00723C24">
              <w:rPr>
                <w:sz w:val="24"/>
                <w:szCs w:val="24"/>
                <w:lang w:val="ru-RU" w:eastAsia="en-US"/>
              </w:rPr>
              <w:t xml:space="preserve"> </w:t>
            </w:r>
            <w:proofErr w:type="spellStart"/>
            <w:r w:rsidRPr="0045480D">
              <w:rPr>
                <w:b/>
                <w:sz w:val="24"/>
                <w:szCs w:val="24"/>
                <w:lang w:val="ru-RU" w:eastAsia="en-US"/>
              </w:rPr>
              <w:t>допустими</w:t>
            </w:r>
            <w:proofErr w:type="spellEnd"/>
            <w:r w:rsidRPr="0045480D">
              <w:rPr>
                <w:b/>
                <w:sz w:val="24"/>
                <w:szCs w:val="24"/>
                <w:lang w:val="ru-RU" w:eastAsia="en-US"/>
              </w:rPr>
              <w:t xml:space="preserve"> </w:t>
            </w:r>
            <w:proofErr w:type="spellStart"/>
            <w:r w:rsidRPr="0045480D">
              <w:rPr>
                <w:b/>
                <w:sz w:val="24"/>
                <w:szCs w:val="24"/>
                <w:lang w:val="ru-RU" w:eastAsia="en-US"/>
              </w:rPr>
              <w:t>са</w:t>
            </w:r>
            <w:proofErr w:type="spellEnd"/>
            <w:r w:rsidRPr="0045480D">
              <w:rPr>
                <w:b/>
                <w:sz w:val="24"/>
                <w:szCs w:val="24"/>
                <w:lang w:val="ru-RU" w:eastAsia="en-US"/>
              </w:rPr>
              <w:t xml:space="preserve"> само </w:t>
            </w:r>
            <w:proofErr w:type="spellStart"/>
            <w:r w:rsidRPr="0045480D">
              <w:rPr>
                <w:b/>
                <w:sz w:val="24"/>
                <w:szCs w:val="24"/>
                <w:lang w:val="ru-RU" w:eastAsia="en-US"/>
              </w:rPr>
              <w:t>дейности</w:t>
            </w:r>
            <w:proofErr w:type="spellEnd"/>
            <w:r w:rsidRPr="0045480D">
              <w:rPr>
                <w:b/>
                <w:sz w:val="24"/>
                <w:szCs w:val="24"/>
                <w:lang w:val="ru-RU" w:eastAsia="en-US"/>
              </w:rPr>
              <w:t xml:space="preserve">, </w:t>
            </w:r>
            <w:proofErr w:type="spellStart"/>
            <w:r w:rsidRPr="0045480D">
              <w:rPr>
                <w:b/>
                <w:sz w:val="24"/>
                <w:szCs w:val="24"/>
                <w:lang w:val="ru-RU" w:eastAsia="en-US"/>
              </w:rPr>
              <w:t>които</w:t>
            </w:r>
            <w:proofErr w:type="spellEnd"/>
            <w:r w:rsidRPr="0045480D">
              <w:rPr>
                <w:b/>
                <w:sz w:val="24"/>
                <w:szCs w:val="24"/>
                <w:lang w:val="ru-RU" w:eastAsia="en-US"/>
              </w:rPr>
              <w:t xml:space="preserve"> </w:t>
            </w:r>
            <w:proofErr w:type="spellStart"/>
            <w:r w:rsidRPr="0045480D">
              <w:rPr>
                <w:b/>
                <w:sz w:val="24"/>
                <w:szCs w:val="24"/>
                <w:lang w:val="ru-RU" w:eastAsia="en-US"/>
              </w:rPr>
              <w:t>имат</w:t>
            </w:r>
            <w:proofErr w:type="spellEnd"/>
            <w:r w:rsidRPr="0045480D">
              <w:rPr>
                <w:b/>
                <w:sz w:val="24"/>
                <w:szCs w:val="24"/>
                <w:lang w:val="ru-RU" w:eastAsia="en-US"/>
              </w:rPr>
              <w:t xml:space="preserve"> </w:t>
            </w:r>
            <w:proofErr w:type="spellStart"/>
            <w:r w:rsidRPr="0045480D">
              <w:rPr>
                <w:b/>
                <w:sz w:val="24"/>
                <w:szCs w:val="24"/>
                <w:lang w:val="ru-RU" w:eastAsia="en-US"/>
              </w:rPr>
              <w:t>неикономически</w:t>
            </w:r>
            <w:proofErr w:type="spellEnd"/>
            <w:r w:rsidRPr="0045480D">
              <w:rPr>
                <w:b/>
                <w:sz w:val="24"/>
                <w:szCs w:val="24"/>
                <w:lang w:val="ru-RU" w:eastAsia="en-US"/>
              </w:rPr>
              <w:t xml:space="preserve"> характер и за </w:t>
            </w:r>
            <w:proofErr w:type="spellStart"/>
            <w:r w:rsidRPr="0045480D">
              <w:rPr>
                <w:b/>
                <w:sz w:val="24"/>
                <w:szCs w:val="24"/>
                <w:lang w:val="ru-RU" w:eastAsia="en-US"/>
              </w:rPr>
              <w:t>които</w:t>
            </w:r>
            <w:proofErr w:type="spellEnd"/>
            <w:r w:rsidRPr="0045480D">
              <w:rPr>
                <w:b/>
                <w:sz w:val="24"/>
                <w:szCs w:val="24"/>
                <w:lang w:val="ru-RU" w:eastAsia="en-US"/>
              </w:rPr>
              <w:t xml:space="preserve"> </w:t>
            </w:r>
            <w:proofErr w:type="spellStart"/>
            <w:r w:rsidRPr="0045480D">
              <w:rPr>
                <w:b/>
                <w:sz w:val="24"/>
                <w:szCs w:val="24"/>
                <w:lang w:val="ru-RU" w:eastAsia="en-US"/>
              </w:rPr>
              <w:t>кандидатства</w:t>
            </w:r>
            <w:proofErr w:type="spellEnd"/>
            <w:r w:rsidRPr="0045480D">
              <w:rPr>
                <w:b/>
                <w:sz w:val="24"/>
                <w:szCs w:val="24"/>
                <w:lang w:val="ru-RU" w:eastAsia="en-US"/>
              </w:rPr>
              <w:t xml:space="preserve"> кандидат, </w:t>
            </w:r>
            <w:proofErr w:type="spellStart"/>
            <w:r w:rsidRPr="0045480D">
              <w:rPr>
                <w:b/>
                <w:sz w:val="24"/>
                <w:szCs w:val="24"/>
                <w:lang w:val="ru-RU" w:eastAsia="en-US"/>
              </w:rPr>
              <w:t>който</w:t>
            </w:r>
            <w:proofErr w:type="spellEnd"/>
            <w:r w:rsidRPr="0045480D">
              <w:rPr>
                <w:b/>
                <w:sz w:val="24"/>
                <w:szCs w:val="24"/>
                <w:lang w:val="ru-RU" w:eastAsia="en-US"/>
              </w:rPr>
              <w:t xml:space="preserve"> не действа </w:t>
            </w:r>
            <w:proofErr w:type="spellStart"/>
            <w:r w:rsidRPr="0045480D">
              <w:rPr>
                <w:b/>
                <w:sz w:val="24"/>
                <w:szCs w:val="24"/>
                <w:lang w:val="ru-RU" w:eastAsia="en-US"/>
              </w:rPr>
              <w:t>като</w:t>
            </w:r>
            <w:proofErr w:type="spellEnd"/>
            <w:r w:rsidRPr="0045480D">
              <w:rPr>
                <w:b/>
                <w:sz w:val="24"/>
                <w:szCs w:val="24"/>
                <w:lang w:val="ru-RU" w:eastAsia="en-US"/>
              </w:rPr>
              <w:t xml:space="preserve"> </w:t>
            </w:r>
            <w:proofErr w:type="spellStart"/>
            <w:r w:rsidRPr="0045480D">
              <w:rPr>
                <w:b/>
                <w:sz w:val="24"/>
                <w:szCs w:val="24"/>
                <w:lang w:val="ru-RU" w:eastAsia="en-US"/>
              </w:rPr>
              <w:t>икономически</w:t>
            </w:r>
            <w:proofErr w:type="spellEnd"/>
            <w:r w:rsidRPr="0045480D">
              <w:rPr>
                <w:b/>
                <w:sz w:val="24"/>
                <w:szCs w:val="24"/>
                <w:lang w:val="ru-RU" w:eastAsia="en-US"/>
              </w:rPr>
              <w:t xml:space="preserve"> оператор (предприятие).</w:t>
            </w:r>
          </w:p>
          <w:p w:rsidR="00723C24" w:rsidRDefault="00723C24" w:rsidP="00723C24">
            <w:pPr>
              <w:spacing w:line="240" w:lineRule="auto"/>
              <w:rPr>
                <w:b/>
                <w:sz w:val="24"/>
                <w:szCs w:val="24"/>
                <w:lang w:val="ru-RU" w:eastAsia="en-US"/>
              </w:rPr>
            </w:pPr>
          </w:p>
          <w:p w:rsidR="00723C24" w:rsidRDefault="004F654D" w:rsidP="00197AB4">
            <w:pPr>
              <w:spacing w:line="240" w:lineRule="auto"/>
              <w:rPr>
                <w:sz w:val="24"/>
                <w:szCs w:val="24"/>
                <w:highlight w:val="white"/>
                <w:shd w:val="clear" w:color="auto" w:fill="FEFEFE"/>
              </w:rPr>
            </w:pPr>
            <w:r>
              <w:rPr>
                <w:sz w:val="24"/>
                <w:szCs w:val="24"/>
                <w:highlight w:val="white"/>
                <w:shd w:val="clear" w:color="auto" w:fill="FEFEFE"/>
              </w:rPr>
              <w:t>Представя се финансово подпомагане, когато:</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 xml:space="preserve">интервенциите са върху публични общински сгради, които са общинска собственост; </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 xml:space="preserve">интервенциите са върху обекти, свързани с </w:t>
            </w:r>
            <w:r w:rsidRPr="00426623">
              <w:rPr>
                <w:sz w:val="24"/>
                <w:szCs w:val="24"/>
                <w:lang w:eastAsia="en-US"/>
              </w:rPr>
              <w:t xml:space="preserve">туризъм, </w:t>
            </w:r>
            <w:r w:rsidRPr="00426623">
              <w:rPr>
                <w:iCs/>
                <w:sz w:val="24"/>
                <w:szCs w:val="24"/>
                <w:highlight w:val="white"/>
                <w:shd w:val="clear" w:color="auto" w:fill="FEFEFE"/>
                <w:lang w:eastAsia="en-US"/>
              </w:rPr>
              <w:t>които са общинска собственост, туристически центрове и др.;</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туристическата инфраструктура е за услуги със свободен обществен достъп и с неикономически характер;</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дейностите в тези обекти са организирани по нетърговски начин и са от нестопанско естество;</w:t>
            </w:r>
          </w:p>
          <w:p w:rsidR="00426623" w:rsidRPr="00197AB4" w:rsidRDefault="00426623" w:rsidP="00723C2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и интервенцията има изклю</w:t>
            </w:r>
            <w:r>
              <w:rPr>
                <w:iCs/>
                <w:sz w:val="24"/>
                <w:szCs w:val="24"/>
                <w:highlight w:val="white"/>
                <w:shd w:val="clear" w:color="auto" w:fill="FEFEFE"/>
                <w:lang w:eastAsia="en-US"/>
              </w:rPr>
              <w:t xml:space="preserve">чително локално въздействие и е </w:t>
            </w:r>
            <w:r w:rsidRPr="00426623">
              <w:rPr>
                <w:iCs/>
                <w:sz w:val="24"/>
                <w:szCs w:val="24"/>
                <w:highlight w:val="white"/>
                <w:shd w:val="clear" w:color="auto" w:fill="FEFEFE"/>
                <w:lang w:eastAsia="en-US"/>
              </w:rPr>
              <w:t xml:space="preserve">предназначена за ползване само от населението в границите на населени места от </w:t>
            </w:r>
            <w:r>
              <w:rPr>
                <w:iCs/>
                <w:sz w:val="24"/>
                <w:szCs w:val="24"/>
                <w:highlight w:val="white"/>
                <w:shd w:val="clear" w:color="auto" w:fill="FEFEFE"/>
                <w:lang w:eastAsia="en-US"/>
              </w:rPr>
              <w:t>община Марица.</w:t>
            </w:r>
          </w:p>
          <w:p w:rsidR="00426623" w:rsidRDefault="00426623" w:rsidP="00723C24">
            <w:pPr>
              <w:spacing w:line="240" w:lineRule="auto"/>
              <w:rPr>
                <w:sz w:val="24"/>
                <w:szCs w:val="24"/>
                <w:highlight w:val="white"/>
                <w:shd w:val="clear" w:color="auto" w:fill="FEFEFE"/>
              </w:rPr>
            </w:pPr>
          </w:p>
          <w:p w:rsidR="00426623" w:rsidRPr="00426623" w:rsidRDefault="00426623" w:rsidP="00426623">
            <w:pPr>
              <w:spacing w:line="240" w:lineRule="auto"/>
              <w:rPr>
                <w:sz w:val="24"/>
                <w:szCs w:val="24"/>
                <w:shd w:val="clear" w:color="auto" w:fill="FEFEFE"/>
              </w:rPr>
            </w:pPr>
            <w:r w:rsidRPr="00426623">
              <w:rPr>
                <w:sz w:val="24"/>
                <w:szCs w:val="24"/>
                <w:shd w:val="clear" w:color="auto" w:fill="FEFEFE"/>
              </w:rPr>
              <w:t>Подпомагането по тези дейности в рамките на СВОМР има изключително локално въздействие и води до подобряване на условията за живот само на територията на МИГ.</w:t>
            </w:r>
          </w:p>
          <w:p w:rsidR="00426623" w:rsidRPr="00426623" w:rsidRDefault="00426623" w:rsidP="00426623">
            <w:pPr>
              <w:spacing w:line="240" w:lineRule="auto"/>
              <w:rPr>
                <w:sz w:val="24"/>
                <w:szCs w:val="24"/>
                <w:shd w:val="clear" w:color="auto" w:fill="FEFEFE"/>
              </w:rPr>
            </w:pPr>
            <w:r w:rsidRPr="00426623">
              <w:rPr>
                <w:sz w:val="24"/>
                <w:szCs w:val="24"/>
                <w:shd w:val="clear" w:color="auto" w:fill="FEFEFE"/>
              </w:rPr>
              <w:t>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случай на такова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държава-член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w:t>
            </w:r>
          </w:p>
          <w:p w:rsidR="00426623" w:rsidRPr="00426623" w:rsidRDefault="00426623" w:rsidP="00426623">
            <w:pPr>
              <w:spacing w:line="240" w:lineRule="auto"/>
              <w:rPr>
                <w:sz w:val="24"/>
                <w:szCs w:val="24"/>
                <w:shd w:val="clear" w:color="auto" w:fill="FEFEFE"/>
              </w:rPr>
            </w:pPr>
            <w:r w:rsidRPr="00426623">
              <w:rPr>
                <w:sz w:val="24"/>
                <w:szCs w:val="24"/>
                <w:shd w:val="clear" w:color="auto" w:fill="FEFEFE"/>
              </w:rPr>
              <w:t xml:space="preserve">В случай на финансово подпомагане само за </w:t>
            </w:r>
            <w:r w:rsidRPr="005B656C">
              <w:rPr>
                <w:b/>
                <w:sz w:val="24"/>
                <w:szCs w:val="24"/>
                <w:shd w:val="clear" w:color="auto" w:fill="FEFEFE"/>
              </w:rPr>
              <w:t>нестопански дейности</w:t>
            </w:r>
            <w:r w:rsidRPr="00426623">
              <w:rPr>
                <w:sz w:val="24"/>
                <w:szCs w:val="24"/>
                <w:shd w:val="clear" w:color="auto" w:fill="FEFEFE"/>
              </w:rPr>
              <w:t xml:space="preserve"> от бенефициенти -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426623" w:rsidRPr="00426623" w:rsidRDefault="00426623" w:rsidP="00426623">
            <w:pPr>
              <w:spacing w:line="240" w:lineRule="auto"/>
              <w:rPr>
                <w:sz w:val="24"/>
                <w:szCs w:val="24"/>
                <w:shd w:val="clear" w:color="auto" w:fill="FEFEFE"/>
              </w:rPr>
            </w:pPr>
          </w:p>
          <w:p w:rsidR="00D73917" w:rsidRDefault="00426623" w:rsidP="00426623">
            <w:pPr>
              <w:spacing w:line="240" w:lineRule="auto"/>
              <w:contextualSpacing/>
              <w:rPr>
                <w:sz w:val="24"/>
                <w:szCs w:val="24"/>
                <w:shd w:val="clear" w:color="auto" w:fill="FEFEFE"/>
              </w:rPr>
            </w:pPr>
            <w:r w:rsidRPr="00426623">
              <w:rPr>
                <w:sz w:val="24"/>
                <w:szCs w:val="24"/>
                <w:shd w:val="clear" w:color="auto" w:fill="FEFEFE"/>
              </w:rPr>
              <w:t xml:space="preserve">Финансовото подпомагане по </w:t>
            </w:r>
            <w:proofErr w:type="spellStart"/>
            <w:r w:rsidRPr="00426623">
              <w:rPr>
                <w:sz w:val="24"/>
                <w:szCs w:val="24"/>
                <w:shd w:val="clear" w:color="auto" w:fill="FEFEFE"/>
              </w:rPr>
              <w:t>горецитираните</w:t>
            </w:r>
            <w:proofErr w:type="spellEnd"/>
            <w:r w:rsidRPr="00426623">
              <w:rPr>
                <w:sz w:val="24"/>
                <w:szCs w:val="24"/>
                <w:shd w:val="clear" w:color="auto" w:fill="FEFEFE"/>
              </w:rPr>
              <w:t xml:space="preserve"> дейности </w:t>
            </w:r>
            <w:r w:rsidRPr="005B656C">
              <w:rPr>
                <w:b/>
                <w:sz w:val="24"/>
                <w:szCs w:val="24"/>
                <w:shd w:val="clear" w:color="auto" w:fill="FEFEFE"/>
              </w:rPr>
              <w:t>няма да представлява „държавна помощ“</w:t>
            </w:r>
            <w:r w:rsidRPr="00426623">
              <w:rPr>
                <w:sz w:val="24"/>
                <w:szCs w:val="24"/>
                <w:shd w:val="clear" w:color="auto" w:fill="FEFEFE"/>
              </w:rPr>
              <w:t xml:space="preserve"> по смисъла на чл. 107, параграф 1 от ДФЕС.</w:t>
            </w:r>
          </w:p>
          <w:p w:rsidR="00197AB4" w:rsidRDefault="00197AB4" w:rsidP="00426623">
            <w:pPr>
              <w:spacing w:line="240" w:lineRule="auto"/>
              <w:contextualSpacing/>
              <w:rPr>
                <w:sz w:val="24"/>
                <w:szCs w:val="24"/>
                <w:shd w:val="clear" w:color="auto" w:fill="FEFEFE"/>
              </w:rPr>
            </w:pPr>
          </w:p>
          <w:p w:rsidR="005B0854" w:rsidRPr="00106EDF" w:rsidRDefault="00197AB4" w:rsidP="004A5F42">
            <w:pPr>
              <w:spacing w:line="240" w:lineRule="auto"/>
              <w:contextualSpacing/>
              <w:rPr>
                <w:sz w:val="24"/>
                <w:szCs w:val="24"/>
                <w:lang w:val="ru-RU"/>
              </w:rPr>
            </w:pPr>
            <w:r w:rsidRPr="00197AB4">
              <w:rPr>
                <w:sz w:val="24"/>
                <w:szCs w:val="24"/>
                <w:shd w:val="clear" w:color="auto" w:fill="FEFEFE"/>
              </w:rPr>
              <w:t xml:space="preserve">Кандидатите следва да представят </w:t>
            </w:r>
            <w:r w:rsidR="00AF3988" w:rsidRPr="00AF3988">
              <w:rPr>
                <w:sz w:val="24"/>
                <w:szCs w:val="24"/>
                <w:shd w:val="clear" w:color="auto" w:fill="FEFEFE"/>
              </w:rPr>
              <w:t>декларация за дейността си (икономическа, неикономическа)</w:t>
            </w:r>
            <w:r w:rsidR="00AF3988">
              <w:rPr>
                <w:sz w:val="24"/>
                <w:szCs w:val="24"/>
                <w:shd w:val="clear" w:color="auto" w:fill="FEFEFE"/>
              </w:rPr>
              <w:t>, в която</w:t>
            </w:r>
            <w:r w:rsidR="004A5F42">
              <w:rPr>
                <w:sz w:val="24"/>
                <w:szCs w:val="24"/>
                <w:shd w:val="clear" w:color="auto" w:fill="FEFEFE"/>
              </w:rPr>
              <w:t xml:space="preserve"> изрично</w:t>
            </w:r>
            <w:r w:rsidR="00AF3988">
              <w:rPr>
                <w:sz w:val="24"/>
                <w:szCs w:val="24"/>
                <w:shd w:val="clear" w:color="auto" w:fill="FEFEFE"/>
              </w:rPr>
              <w:t xml:space="preserve"> да посочат</w:t>
            </w:r>
            <w:r w:rsidRPr="00197AB4">
              <w:rPr>
                <w:sz w:val="24"/>
                <w:szCs w:val="24"/>
                <w:shd w:val="clear" w:color="auto" w:fill="FEFEFE"/>
              </w:rPr>
              <w:t>, че по проекта ще се финан</w:t>
            </w:r>
            <w:r w:rsidR="00255E1C">
              <w:rPr>
                <w:sz w:val="24"/>
                <w:szCs w:val="24"/>
                <w:shd w:val="clear" w:color="auto" w:fill="FEFEFE"/>
              </w:rPr>
              <w:t>сират само нестопански дейности</w:t>
            </w:r>
            <w:r w:rsidR="00AF3988">
              <w:rPr>
                <w:sz w:val="24"/>
                <w:szCs w:val="24"/>
                <w:shd w:val="clear" w:color="auto" w:fill="FEFEFE"/>
              </w:rPr>
              <w:t xml:space="preserve">, </w:t>
            </w:r>
            <w:r w:rsidRPr="00197AB4">
              <w:rPr>
                <w:sz w:val="24"/>
                <w:szCs w:val="24"/>
                <w:shd w:val="clear" w:color="auto" w:fill="FEFEFE"/>
              </w:rPr>
              <w:t>както и годишен финансово-счетоводен отчет, от който да е видно финансово-счетоводно (в т.ч. аналитично) обособяване на икономическата и неикономическа дей</w:t>
            </w:r>
            <w:r w:rsidR="00AF3988">
              <w:rPr>
                <w:sz w:val="24"/>
                <w:szCs w:val="24"/>
                <w:shd w:val="clear" w:color="auto" w:fill="FEFEFE"/>
              </w:rPr>
              <w:t>ност.</w:t>
            </w:r>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0" w:name="_Toc479577166"/>
      <w:bookmarkStart w:id="31"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0"/>
      <w:bookmarkEnd w:id="31"/>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w:t>
      </w:r>
      <w:proofErr w:type="spellStart"/>
      <w:r w:rsidR="007F6382">
        <w:rPr>
          <w:rFonts w:eastAsia="Calibri"/>
          <w:sz w:val="24"/>
          <w:szCs w:val="24"/>
          <w:lang w:eastAsia="en-US"/>
        </w:rPr>
        <w:t>Р</w:t>
      </w:r>
      <w:r w:rsidRPr="00486406">
        <w:rPr>
          <w:rFonts w:eastAsia="Calibri"/>
          <w:sz w:val="24"/>
          <w:szCs w:val="24"/>
          <w:lang w:eastAsia="en-US"/>
        </w:rPr>
        <w:t>авнопоставеност</w:t>
      </w:r>
      <w:proofErr w:type="spellEnd"/>
      <w:r w:rsidRPr="00486406">
        <w:rPr>
          <w:rFonts w:eastAsia="Calibri"/>
          <w:sz w:val="24"/>
          <w:szCs w:val="24"/>
          <w:lang w:eastAsia="en-US"/>
        </w:rPr>
        <w:t xml:space="preserve">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486406">
        <w:rPr>
          <w:rFonts w:eastAsia="Calibri"/>
          <w:sz w:val="24"/>
          <w:szCs w:val="24"/>
          <w:lang w:eastAsia="en-US"/>
        </w:rPr>
        <w:t>равнопоставеността</w:t>
      </w:r>
      <w:proofErr w:type="spellEnd"/>
      <w:r w:rsidRPr="00486406">
        <w:rPr>
          <w:rFonts w:eastAsia="Calibri"/>
          <w:sz w:val="24"/>
          <w:szCs w:val="24"/>
          <w:lang w:eastAsia="en-US"/>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w:t>
      </w:r>
      <w:r w:rsidR="00004BC0">
        <w:rPr>
          <w:rFonts w:eastAsia="Calibri"/>
          <w:sz w:val="24"/>
          <w:szCs w:val="24"/>
          <w:lang w:eastAsia="en-US"/>
        </w:rPr>
        <w:t>раздел</w:t>
      </w:r>
      <w:r w:rsidRPr="00486406">
        <w:rPr>
          <w:rFonts w:eastAsia="Calibri"/>
          <w:sz w:val="24"/>
          <w:szCs w:val="24"/>
          <w:lang w:eastAsia="en-US"/>
        </w:rPr>
        <w:t xml:space="preserve"> 11 от Условията за 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 xml:space="preserve">дна от най-важните характеристики и цели на </w:t>
      </w:r>
      <w:r w:rsidR="002A5998" w:rsidRPr="00CD1337">
        <w:rPr>
          <w:sz w:val="24"/>
          <w:szCs w:val="24"/>
          <w:lang w:eastAsia="ja-JP"/>
        </w:rPr>
        <w:t>СВОМР</w:t>
      </w:r>
      <w:r w:rsidR="003B747A" w:rsidRPr="00CD1337">
        <w:rPr>
          <w:sz w:val="24"/>
          <w:szCs w:val="24"/>
          <w:lang w:eastAsia="ja-JP"/>
        </w:rPr>
        <w:t xml:space="preserve"> на </w:t>
      </w:r>
      <w:r w:rsidR="002A5998" w:rsidRPr="00CD1337">
        <w:rPr>
          <w:sz w:val="24"/>
          <w:szCs w:val="24"/>
          <w:lang w:eastAsia="ja-JP"/>
        </w:rPr>
        <w:t>„</w:t>
      </w:r>
      <w:r w:rsidR="003B747A" w:rsidRPr="00CD1337">
        <w:rPr>
          <w:sz w:val="24"/>
          <w:szCs w:val="24"/>
          <w:lang w:eastAsia="ja-JP"/>
        </w:rPr>
        <w:t xml:space="preserve">МИГ- </w:t>
      </w:r>
      <w:r w:rsidR="00D03420" w:rsidRPr="00CD1337">
        <w:rPr>
          <w:sz w:val="24"/>
          <w:szCs w:val="24"/>
          <w:lang w:eastAsia="ja-JP"/>
        </w:rPr>
        <w:t xml:space="preserve">община </w:t>
      </w:r>
      <w:r w:rsidR="003B747A" w:rsidRPr="00CD1337">
        <w:rPr>
          <w:sz w:val="24"/>
          <w:szCs w:val="24"/>
          <w:lang w:eastAsia="ja-JP"/>
        </w:rPr>
        <w:t>Марица</w:t>
      </w:r>
      <w:r w:rsidR="002A5998" w:rsidRPr="00CD1337">
        <w:rPr>
          <w:sz w:val="24"/>
          <w:szCs w:val="24"/>
          <w:lang w:eastAsia="ja-JP"/>
        </w:rPr>
        <w:t>“</w:t>
      </w:r>
      <w:r w:rsidR="003B747A" w:rsidRPr="00372340">
        <w:rPr>
          <w:sz w:val="24"/>
          <w:szCs w:val="24"/>
          <w:lang w:eastAsia="ja-JP"/>
        </w:rPr>
        <w:t xml:space="preserve">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По мярка 7.</w:t>
      </w:r>
      <w:r w:rsidR="00C25D56">
        <w:rPr>
          <w:sz w:val="24"/>
          <w:szCs w:val="24"/>
          <w:lang w:eastAsia="ja-JP"/>
        </w:rPr>
        <w:t>5</w:t>
      </w:r>
      <w:r w:rsidR="00C91BF5" w:rsidRPr="004D4E34">
        <w:rPr>
          <w:sz w:val="24"/>
          <w:szCs w:val="24"/>
          <w:lang w:eastAsia="ja-JP"/>
        </w:rPr>
        <w:t xml:space="preserve"> ще се осигурява </w:t>
      </w:r>
      <w:r w:rsidR="00C91BF5" w:rsidRPr="004D4E34">
        <w:rPr>
          <w:sz w:val="24"/>
          <w:szCs w:val="24"/>
          <w:lang w:eastAsia="ja-JP"/>
        </w:rPr>
        <w:lastRenderedPageBreak/>
        <w:t xml:space="preserve">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 xml:space="preserve">асърчаване на заетостта и конкурентоспособността - с прилагането на мярката се цели </w:t>
      </w:r>
      <w:r w:rsidR="00C25D56">
        <w:rPr>
          <w:sz w:val="24"/>
          <w:szCs w:val="24"/>
          <w:lang w:eastAsia="en-US"/>
        </w:rPr>
        <w:t xml:space="preserve">развитие на туризма на територията на община „Марица“. </w:t>
      </w:r>
      <w:r w:rsidR="00C25D56" w:rsidRPr="00C25D56">
        <w:rPr>
          <w:sz w:val="24"/>
          <w:szCs w:val="24"/>
          <w:lang w:eastAsia="en-US"/>
        </w:rPr>
        <w:t xml:space="preserve">Туризмът стимулира развитието </w:t>
      </w:r>
      <w:r w:rsidR="00C25D56">
        <w:rPr>
          <w:sz w:val="24"/>
          <w:szCs w:val="24"/>
          <w:lang w:eastAsia="en-US"/>
        </w:rPr>
        <w:t xml:space="preserve">и повишава конкурентоспособността </w:t>
      </w:r>
      <w:r w:rsidR="00C25D56" w:rsidRPr="00C25D56">
        <w:rPr>
          <w:sz w:val="24"/>
          <w:szCs w:val="24"/>
          <w:lang w:eastAsia="en-US"/>
        </w:rPr>
        <w:t>на други сродни отрасли на икономиката, и по-конкретно на търговията, транспорта, съобщенията, селското стопанство, производството на стоки за бита и др. Наред с високия си икономически потенциал, той играе и важна социална роля, оказвайки значително влияние върху заетостта на населението.</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w:t>
      </w:r>
      <w:r w:rsidR="002A5998">
        <w:rPr>
          <w:bCs/>
          <w:sz w:val="24"/>
          <w:szCs w:val="24"/>
          <w:lang w:eastAsia="ja-JP"/>
        </w:rPr>
        <w:t xml:space="preserve"> </w:t>
      </w:r>
      <w:r w:rsidR="002A5998" w:rsidRPr="00CD1337">
        <w:rPr>
          <w:bCs/>
          <w:sz w:val="24"/>
          <w:szCs w:val="24"/>
          <w:lang w:eastAsia="ja-JP"/>
        </w:rPr>
        <w:t>2014-2020</w:t>
      </w:r>
      <w:r w:rsidR="002A5998">
        <w:rPr>
          <w:bCs/>
          <w:sz w:val="24"/>
          <w:szCs w:val="24"/>
          <w:lang w:eastAsia="ja-JP"/>
        </w:rPr>
        <w:t xml:space="preserve"> г.</w:t>
      </w:r>
      <w:r w:rsidR="00DC379E" w:rsidRPr="004D4E34">
        <w:rPr>
          <w:bCs/>
          <w:sz w:val="24"/>
          <w:szCs w:val="24"/>
          <w:lang w:eastAsia="ja-JP"/>
        </w:rPr>
        <w:t xml:space="preserve"> и са съобразени с Оперативните програми, при стриктн</w:t>
      </w:r>
      <w:r>
        <w:rPr>
          <w:bCs/>
          <w:sz w:val="24"/>
          <w:szCs w:val="24"/>
          <w:lang w:eastAsia="ja-JP"/>
        </w:rPr>
        <w:t xml:space="preserve">о спазване на принципите за </w:t>
      </w:r>
      <w:proofErr w:type="spellStart"/>
      <w:r>
        <w:rPr>
          <w:bCs/>
          <w:sz w:val="24"/>
          <w:szCs w:val="24"/>
          <w:lang w:eastAsia="ja-JP"/>
        </w:rPr>
        <w:t>допъ</w:t>
      </w:r>
      <w:r w:rsidR="00DC379E" w:rsidRPr="004D4E34">
        <w:rPr>
          <w:bCs/>
          <w:sz w:val="24"/>
          <w:szCs w:val="24"/>
          <w:lang w:eastAsia="ja-JP"/>
        </w:rPr>
        <w:t>лняемост</w:t>
      </w:r>
      <w:proofErr w:type="spellEnd"/>
      <w:r w:rsidR="00DC379E" w:rsidRPr="004D4E34">
        <w:rPr>
          <w:bCs/>
          <w:sz w:val="24"/>
          <w:szCs w:val="24"/>
          <w:lang w:eastAsia="ja-JP"/>
        </w:rPr>
        <w:t xml:space="preserve">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865270" w:rsidRPr="00865270" w:rsidRDefault="00865270" w:rsidP="00865270">
      <w:pPr>
        <w:rPr>
          <w:lang w:val="en-US"/>
        </w:rPr>
      </w:pPr>
    </w:p>
    <w:p w:rsidR="00372340" w:rsidRDefault="00372340" w:rsidP="00372340"/>
    <w:p w:rsidR="00F2672E" w:rsidRPr="00437DF0" w:rsidRDefault="00437DF0" w:rsidP="00437DF0">
      <w:pPr>
        <w:pStyle w:val="1"/>
        <w:numPr>
          <w:ilvl w:val="0"/>
          <w:numId w:val="0"/>
        </w:numPr>
        <w:rPr>
          <w:rFonts w:ascii="Times New Roman" w:hAnsi="Times New Roman" w:cs="Times New Roman"/>
          <w:color w:val="auto"/>
          <w:sz w:val="24"/>
          <w:szCs w:val="24"/>
        </w:rPr>
      </w:pPr>
      <w:bookmarkStart w:id="32" w:name="_Toc479577167"/>
      <w:bookmarkStart w:id="33" w:name="_Toc508719519"/>
      <w:r w:rsidRPr="00437DF0">
        <w:rPr>
          <w:rFonts w:ascii="Times New Roman" w:eastAsia="Times New Roman" w:hAnsi="Times New Roman" w:cs="Times New Roman"/>
          <w:color w:val="auto"/>
          <w:sz w:val="24"/>
          <w:szCs w:val="24"/>
        </w:rPr>
        <w:t>18.М</w:t>
      </w:r>
      <w:r w:rsidR="00F2672E" w:rsidRPr="00437DF0">
        <w:rPr>
          <w:rFonts w:ascii="Times New Roman" w:hAnsi="Times New Roman" w:cs="Times New Roman"/>
          <w:color w:val="auto"/>
          <w:sz w:val="24"/>
          <w:szCs w:val="24"/>
        </w:rPr>
        <w:t>аксимален  срок за изпълнение на проекта</w:t>
      </w:r>
      <w:bookmarkEnd w:id="32"/>
      <w:bookmarkEnd w:id="33"/>
    </w:p>
    <w:tbl>
      <w:tblPr>
        <w:tblStyle w:val="a3"/>
        <w:tblW w:w="0" w:type="auto"/>
        <w:tblLook w:val="04A0" w:firstRow="1" w:lastRow="0" w:firstColumn="1" w:lastColumn="0" w:noHBand="0" w:noVBand="1"/>
      </w:tblPr>
      <w:tblGrid>
        <w:gridCol w:w="9288"/>
      </w:tblGrid>
      <w:tr w:rsidR="00F2672E" w:rsidTr="00835A8E">
        <w:trPr>
          <w:trHeight w:val="1439"/>
        </w:trPr>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F2672E" w:rsidRPr="00835A8E" w:rsidRDefault="00A418D9" w:rsidP="001D2732">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w:t>
            </w:r>
            <w:r w:rsidR="00D03420" w:rsidRPr="00CD1337">
              <w:rPr>
                <w:b/>
                <w:sz w:val="24"/>
                <w:szCs w:val="24"/>
                <w:u w:val="single"/>
                <w:shd w:val="clear" w:color="auto" w:fill="FEFEFE"/>
              </w:rPr>
              <w:t xml:space="preserve">община </w:t>
            </w:r>
            <w:r w:rsidRPr="00A418D9">
              <w:rPr>
                <w:b/>
                <w:sz w:val="24"/>
                <w:szCs w:val="24"/>
                <w:highlight w:val="white"/>
                <w:u w:val="single"/>
                <w:shd w:val="clear" w:color="auto" w:fill="FEFEFE"/>
              </w:rPr>
              <w:t xml:space="preserve">Марица  е до 30 юни </w:t>
            </w:r>
            <w:r w:rsidR="001D2732">
              <w:rPr>
                <w:b/>
                <w:sz w:val="24"/>
                <w:szCs w:val="24"/>
                <w:highlight w:val="white"/>
                <w:u w:val="single"/>
                <w:shd w:val="clear" w:color="auto" w:fill="FEFEFE"/>
              </w:rPr>
              <w:t>2023</w:t>
            </w:r>
            <w:r w:rsidR="000E633E" w:rsidRPr="00A418D9">
              <w:rPr>
                <w:b/>
                <w:sz w:val="24"/>
                <w:szCs w:val="24"/>
                <w:highlight w:val="white"/>
                <w:u w:val="single"/>
                <w:shd w:val="clear" w:color="auto" w:fill="FEFEFE"/>
              </w:rPr>
              <w:t xml:space="preserve"> </w:t>
            </w:r>
            <w:r w:rsidRPr="00A418D9">
              <w:rPr>
                <w:b/>
                <w:sz w:val="24"/>
                <w:szCs w:val="24"/>
                <w:highlight w:val="white"/>
                <w:u w:val="single"/>
                <w:shd w:val="clear" w:color="auto" w:fill="FEFEFE"/>
              </w:rPr>
              <w:t>г.</w:t>
            </w: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4" w:name="_Toc479577168"/>
      <w:bookmarkStart w:id="35"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4"/>
      <w:r w:rsidR="00057553">
        <w:rPr>
          <w:rFonts w:ascii="Times New Roman" w:hAnsi="Times New Roman" w:cs="Times New Roman"/>
          <w:color w:val="auto"/>
          <w:sz w:val="24"/>
          <w:szCs w:val="24"/>
        </w:rPr>
        <w:t>:</w:t>
      </w:r>
      <w:bookmarkEnd w:id="35"/>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C64083" w:rsidRDefault="00F2672E" w:rsidP="00835A8E">
            <w:pPr>
              <w:tabs>
                <w:tab w:val="left" w:pos="313"/>
              </w:tabs>
              <w:rPr>
                <w:sz w:val="24"/>
                <w:szCs w:val="24"/>
              </w:rPr>
            </w:pPr>
            <w:r>
              <w:rPr>
                <w:sz w:val="24"/>
                <w:szCs w:val="24"/>
              </w:rPr>
              <w:t>Н</w:t>
            </w:r>
            <w:r w:rsidRPr="0009379B">
              <w:rPr>
                <w:sz w:val="24"/>
                <w:szCs w:val="24"/>
              </w:rPr>
              <w:t>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36" w:name="_Toc479577169"/>
      <w:bookmarkStart w:id="37" w:name="_Toc508719521"/>
      <w:r>
        <w:rPr>
          <w:rFonts w:ascii="Times New Roman" w:hAnsi="Times New Roman" w:cs="Times New Roman"/>
          <w:color w:val="auto"/>
          <w:sz w:val="24"/>
          <w:szCs w:val="24"/>
        </w:rPr>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36"/>
      <w:bookmarkEnd w:id="37"/>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1F0719">
            <w:pPr>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38" w:name="_Toc479577170"/>
      <w:bookmarkStart w:id="39" w:name="_Toc508719522"/>
      <w:r>
        <w:rPr>
          <w:rFonts w:ascii="Times New Roman" w:hAnsi="Times New Roman" w:cs="Times New Roman"/>
          <w:color w:val="auto"/>
          <w:sz w:val="24"/>
          <w:szCs w:val="24"/>
        </w:rPr>
        <w:lastRenderedPageBreak/>
        <w:t>21.</w:t>
      </w:r>
      <w:r w:rsidR="00F2672E" w:rsidRPr="00C14964">
        <w:rPr>
          <w:rFonts w:ascii="Times New Roman" w:hAnsi="Times New Roman" w:cs="Times New Roman"/>
          <w:color w:val="auto"/>
          <w:sz w:val="24"/>
          <w:szCs w:val="24"/>
        </w:rPr>
        <w:t>Ред за оценяване на проектните предложения</w:t>
      </w:r>
      <w:bookmarkEnd w:id="38"/>
      <w:bookmarkEnd w:id="39"/>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1"/>
            </w:r>
            <w:r w:rsidRPr="0094785F">
              <w:rPr>
                <w:sz w:val="24"/>
                <w:szCs w:val="24"/>
              </w:rPr>
              <w:t xml:space="preserve"> по чл.41, ал.2 от ПМС 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w:t>
            </w:r>
            <w:r w:rsidR="002A5998">
              <w:rPr>
                <w:sz w:val="24"/>
                <w:szCs w:val="24"/>
              </w:rPr>
              <w:t xml:space="preserve"> </w:t>
            </w:r>
            <w:r w:rsidR="002A5998" w:rsidRPr="00CD1337">
              <w:rPr>
                <w:sz w:val="24"/>
                <w:szCs w:val="24"/>
              </w:rPr>
              <w:t>2014-2020</w:t>
            </w:r>
            <w:r w:rsidR="00CD1337">
              <w:rPr>
                <w:sz w:val="24"/>
                <w:szCs w:val="24"/>
              </w:rPr>
              <w:t xml:space="preserve"> </w:t>
            </w:r>
            <w:r w:rsidR="002A5998" w:rsidRPr="00CD1337">
              <w:rPr>
                <w:sz w:val="24"/>
                <w:szCs w:val="24"/>
              </w:rPr>
              <w:t>г. и ДФЗ</w:t>
            </w:r>
            <w:r w:rsidRPr="0094785F">
              <w:rPr>
                <w:sz w:val="24"/>
                <w:szCs w:val="24"/>
              </w:rPr>
              <w:t>. При необходимост работата на комисията се подпомага и от 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94785F">
              <w:rPr>
                <w:rFonts w:eastAsia="Calibri"/>
                <w:sz w:val="24"/>
                <w:szCs w:val="24"/>
                <w:lang w:eastAsia="en-US"/>
              </w:rPr>
              <w:t>нередовности</w:t>
            </w:r>
            <w:proofErr w:type="spellEnd"/>
            <w:r w:rsidRPr="0094785F">
              <w:rPr>
                <w:rFonts w:eastAsia="Calibri"/>
                <w:sz w:val="24"/>
                <w:szCs w:val="24"/>
                <w:lang w:eastAsia="en-US"/>
              </w:rPr>
              <w:t xml:space="preserve"> и определя 7-дневен срок за тяхното отстраняване. Уведомлението съдържа и информация, че неотстраняването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lastRenderedPageBreak/>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proofErr w:type="spellStart"/>
            <w:r w:rsidRPr="0094785F">
              <w:rPr>
                <w:rFonts w:eastAsia="Calibri"/>
                <w:sz w:val="24"/>
                <w:szCs w:val="24"/>
                <w:lang w:val="en-US" w:eastAsia="en-US"/>
              </w:rPr>
              <w:t>ореспонденцията</w:t>
            </w:r>
            <w:proofErr w:type="spellEnd"/>
            <w:r w:rsidRPr="0094785F">
              <w:rPr>
                <w:rFonts w:eastAsia="Calibri"/>
                <w:sz w:val="24"/>
                <w:szCs w:val="24"/>
                <w:lang w:val="en-US" w:eastAsia="en-US"/>
              </w:rPr>
              <w:t xml:space="preserve"> с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ще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извършва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системата</w:t>
            </w:r>
            <w:proofErr w:type="spellEnd"/>
            <w:r w:rsidRPr="0094785F">
              <w:rPr>
                <w:rFonts w:eastAsia="Calibri"/>
                <w:sz w:val="24"/>
                <w:szCs w:val="24"/>
                <w:lang w:val="en-US" w:eastAsia="en-US"/>
              </w:rPr>
              <w:t xml:space="preserve"> ИСУН 2020 </w:t>
            </w:r>
            <w:proofErr w:type="spellStart"/>
            <w:r w:rsidRPr="0094785F">
              <w:rPr>
                <w:rFonts w:eastAsia="Calibri"/>
                <w:sz w:val="24"/>
                <w:szCs w:val="24"/>
                <w:lang w:val="en-US" w:eastAsia="en-US"/>
              </w:rPr>
              <w:t>чрез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профила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и </w:t>
            </w:r>
            <w:proofErr w:type="spellStart"/>
            <w:r w:rsidRPr="0094785F">
              <w:rPr>
                <w:rFonts w:eastAsia="Calibri"/>
                <w:sz w:val="24"/>
                <w:szCs w:val="24"/>
                <w:lang w:val="en-US" w:eastAsia="en-US"/>
              </w:rPr>
              <w:t>асоциирания</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към</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него</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електронен</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адрес</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потребителя</w:t>
            </w:r>
            <w:proofErr w:type="spellEnd"/>
            <w:r w:rsidRPr="0094785F">
              <w:rPr>
                <w:rFonts w:eastAsia="Calibri"/>
                <w:sz w:val="24"/>
                <w:szCs w:val="24"/>
                <w:lang w:val="en-US" w:eastAsia="en-US"/>
              </w:rPr>
              <w:t>.</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54025E" w:rsidRPr="0054025E">
              <w:rPr>
                <w:rFonts w:eastAsia="Calibri"/>
                <w:sz w:val="24"/>
                <w:szCs w:val="24"/>
                <w:lang w:eastAsia="en-US"/>
              </w:rPr>
              <w:t>18 декември 2020 г.</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6F5337"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hyperlink w:history="1"/>
            <w:r w:rsidR="002A5998" w:rsidRPr="000D3258">
              <w:rPr>
                <w:rFonts w:eastAsia="Calibri"/>
                <w:color w:val="0563C1"/>
                <w:sz w:val="24"/>
                <w:szCs w:val="24"/>
                <w:u w:val="single"/>
                <w:lang w:eastAsia="en-US"/>
              </w:rPr>
              <w:t xml:space="preserve"> https://www.youtube.com/watch?v=FCKYZMY7bZ8</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lastRenderedPageBreak/>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0" w:name="_Toc479577171"/>
      <w:bookmarkStart w:id="41"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0"/>
      <w:bookmarkEnd w:id="41"/>
    </w:p>
    <w:tbl>
      <w:tblPr>
        <w:tblStyle w:val="a3"/>
        <w:tblW w:w="0" w:type="auto"/>
        <w:tblLook w:val="04A0" w:firstRow="1" w:lastRow="0" w:firstColumn="1" w:lastColumn="0" w:noHBand="0" w:noVBand="1"/>
      </w:tblPr>
      <w:tblGrid>
        <w:gridCol w:w="9288"/>
      </w:tblGrid>
      <w:tr w:rsidR="00F2672E" w:rsidTr="00E7062E">
        <w:tc>
          <w:tcPr>
            <w:tcW w:w="9770" w:type="dxa"/>
          </w:tcPr>
          <w:p w:rsidR="002E6C92" w:rsidRPr="00DE6BFC" w:rsidRDefault="002E6C92" w:rsidP="002E6C92">
            <w:pPr>
              <w:tabs>
                <w:tab w:val="left" w:pos="248"/>
                <w:tab w:val="left" w:pos="648"/>
              </w:tabs>
              <w:rPr>
                <w:sz w:val="24"/>
                <w:szCs w:val="24"/>
              </w:rPr>
            </w:pPr>
            <w:r w:rsidRPr="00DE6BFC">
              <w:rPr>
                <w:sz w:val="24"/>
                <w:szCs w:val="24"/>
              </w:rPr>
              <w:t xml:space="preserve">До оценка на етап административно съответствие и допустимост се допускат само проектни предложения, подадени/регистрирани в срок.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DE6BFC">
              <w:rPr>
                <w:sz w:val="24"/>
                <w:szCs w:val="24"/>
              </w:rPr>
              <w:t>Приложение №</w:t>
            </w:r>
            <w:r w:rsidR="007C2BCC">
              <w:rPr>
                <w:sz w:val="24"/>
                <w:szCs w:val="24"/>
              </w:rPr>
              <w:t xml:space="preserve"> </w:t>
            </w:r>
            <w:r w:rsidR="001D2442" w:rsidRPr="00DE6BFC">
              <w:rPr>
                <w:sz w:val="24"/>
                <w:szCs w:val="24"/>
              </w:rPr>
              <w:t>4</w:t>
            </w:r>
            <w:r w:rsidRPr="009334FC">
              <w:rPr>
                <w:sz w:val="24"/>
                <w:szCs w:val="24"/>
              </w:rPr>
              <w:t xml:space="preserve">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41109B" w:rsidP="00AF343A">
            <w:pPr>
              <w:shd w:val="clear" w:color="auto" w:fill="FEFEFE"/>
              <w:spacing w:line="240" w:lineRule="auto"/>
              <w:rPr>
                <w:rFonts w:eastAsia="Calibri"/>
                <w:sz w:val="24"/>
                <w:szCs w:val="24"/>
                <w:lang w:eastAsia="en-US"/>
              </w:rPr>
            </w:pPr>
            <w:r>
              <w:rPr>
                <w:rFonts w:eastAsia="Calibri"/>
                <w:sz w:val="24"/>
                <w:szCs w:val="24"/>
                <w:lang w:eastAsia="en-US"/>
              </w:rPr>
              <w:t>3</w:t>
            </w:r>
            <w:r w:rsidR="005D4D39">
              <w:rPr>
                <w:rFonts w:eastAsia="Calibri"/>
                <w:sz w:val="24"/>
                <w:szCs w:val="24"/>
                <w:lang w:eastAsia="en-US"/>
              </w:rPr>
              <w:t xml:space="preserve">. </w:t>
            </w:r>
            <w:r w:rsidR="00AF343A" w:rsidRPr="00AF343A">
              <w:rPr>
                <w:rFonts w:eastAsia="Calibri"/>
                <w:sz w:val="24"/>
                <w:szCs w:val="24"/>
                <w:lang w:eastAsia="en-US"/>
              </w:rPr>
              <w:t>посещение на място за заявления, включващи разходи за строително-монтажни работи (когато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lastRenderedPageBreak/>
              <w:t xml:space="preserve">Техническа и финансова оценка на проектните предложения се извършва по критерии, подробно описани </w:t>
            </w:r>
            <w:r w:rsidRPr="00DE6BFC">
              <w:rPr>
                <w:sz w:val="24"/>
                <w:szCs w:val="24"/>
              </w:rPr>
              <w:t>в Приложение №</w:t>
            </w:r>
            <w:r w:rsidR="007C2BCC">
              <w:rPr>
                <w:sz w:val="24"/>
                <w:szCs w:val="24"/>
              </w:rPr>
              <w:t xml:space="preserve"> </w:t>
            </w:r>
            <w:r w:rsidR="001D2442" w:rsidRPr="00DE6BFC">
              <w:rPr>
                <w:sz w:val="24"/>
                <w:szCs w:val="24"/>
              </w:rPr>
              <w:t>5</w:t>
            </w:r>
            <w:r w:rsidRPr="00DE6BFC">
              <w:rPr>
                <w:sz w:val="24"/>
                <w:szCs w:val="24"/>
              </w:rPr>
              <w:t xml:space="preserve"> - Критерии за Техническа</w:t>
            </w:r>
            <w:r w:rsidRPr="00AF343A">
              <w:rPr>
                <w:sz w:val="24"/>
                <w:szCs w:val="24"/>
              </w:rPr>
              <w:t xml:space="preserve"> и финансова оценка на  проектни предложения към настоящите Условия за кандидатстване. </w:t>
            </w:r>
          </w:p>
          <w:p w:rsidR="00AF343A" w:rsidRPr="00B8205E" w:rsidRDefault="00AF343A" w:rsidP="00AF343A">
            <w:pPr>
              <w:tabs>
                <w:tab w:val="left" w:pos="0"/>
                <w:tab w:val="left" w:pos="2608"/>
                <w:tab w:val="left" w:pos="3317"/>
              </w:tabs>
              <w:spacing w:after="120" w:line="240" w:lineRule="auto"/>
              <w:rPr>
                <w:snapToGrid w:val="0"/>
                <w:color w:val="FF000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Pr="00FC6CDD">
              <w:rPr>
                <w:b/>
                <w:snapToGrid w:val="0"/>
                <w:color w:val="000000" w:themeColor="text1"/>
                <w:sz w:val="24"/>
                <w:szCs w:val="24"/>
                <w:lang w:eastAsia="en-US"/>
              </w:rPr>
              <w:t>1</w:t>
            </w:r>
            <w:r w:rsidR="00B8205E" w:rsidRPr="00FC6CDD">
              <w:rPr>
                <w:b/>
                <w:snapToGrid w:val="0"/>
                <w:color w:val="000000" w:themeColor="text1"/>
                <w:sz w:val="24"/>
                <w:szCs w:val="24"/>
                <w:lang w:eastAsia="en-US"/>
              </w:rPr>
              <w:t>0</w:t>
            </w:r>
            <w:r w:rsidRPr="00FC6CDD">
              <w:rPr>
                <w:b/>
                <w:snapToGrid w:val="0"/>
                <w:color w:val="000000" w:themeColor="text1"/>
                <w:sz w:val="24"/>
                <w:szCs w:val="24"/>
                <w:lang w:eastAsia="en-US"/>
              </w:rPr>
              <w:t>т.</w:t>
            </w:r>
            <w:r w:rsidRPr="00FC6CDD">
              <w:rPr>
                <w:snapToGrid w:val="0"/>
                <w:color w:val="000000" w:themeColor="text1"/>
                <w:sz w:val="24"/>
                <w:szCs w:val="24"/>
                <w:lang w:eastAsia="en-US"/>
              </w:rPr>
              <w:t xml:space="preserve"> </w:t>
            </w:r>
          </w:p>
          <w:p w:rsidR="00AF343A" w:rsidRPr="00B8205E" w:rsidRDefault="00AF343A" w:rsidP="00AF343A">
            <w:pPr>
              <w:tabs>
                <w:tab w:val="left" w:pos="248"/>
                <w:tab w:val="left" w:pos="648"/>
              </w:tabs>
              <w:spacing w:line="240" w:lineRule="auto"/>
              <w:rPr>
                <w:color w:val="FF0000"/>
                <w:sz w:val="24"/>
                <w:szCs w:val="24"/>
              </w:rPr>
            </w:pP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1.Критерий „Проектът задоволява потребностите на уязвими групи от населението“</w:t>
            </w: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2.Критерий „Проектът е обвързан с реализирането на други проекти, финансирани по С</w:t>
            </w:r>
            <w:r w:rsidR="00AC070E">
              <w:rPr>
                <w:b/>
                <w:sz w:val="24"/>
                <w:szCs w:val="24"/>
              </w:rPr>
              <w:t>тратегията за местно развитие</w:t>
            </w:r>
            <w:r w:rsidRPr="00DE6BFC">
              <w:rPr>
                <w:b/>
                <w:sz w:val="24"/>
                <w:szCs w:val="24"/>
              </w:rPr>
              <w:t>“</w:t>
            </w: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3.Критерий „Проектът има минимум 2 иновативни елемента“</w:t>
            </w:r>
          </w:p>
          <w:p w:rsidR="00692150" w:rsidRPr="00F71E16"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DE6B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отхвърлени.</w:t>
            </w:r>
            <w:r w:rsidR="007A174B" w:rsidRPr="00DE6BFC">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2" w:name="_Toc479577172"/>
      <w:bookmarkStart w:id="43"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w:t>
      </w:r>
      <w:bookmarkEnd w:id="42"/>
      <w:bookmarkEnd w:id="43"/>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канидатстване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w:t>
            </w:r>
            <w:r w:rsidR="004F7A55">
              <w:rPr>
                <w:snapToGrid w:val="0"/>
                <w:sz w:val="24"/>
                <w:szCs w:val="24"/>
                <w:lang w:val="ru-RU" w:eastAsia="en-US"/>
              </w:rPr>
              <w:t>,</w:t>
            </w:r>
            <w:r w:rsidRPr="00E37920">
              <w:rPr>
                <w:snapToGrid w:val="0"/>
                <w:sz w:val="24"/>
                <w:szCs w:val="24"/>
                <w:lang w:val="ru-RU" w:eastAsia="en-US"/>
              </w:rPr>
              <w:t xml:space="preserve">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или </w:t>
            </w:r>
            <w:proofErr w:type="spellStart"/>
            <w:proofErr w:type="gramStart"/>
            <w:r w:rsidRPr="00E37920">
              <w:rPr>
                <w:snapToGrid w:val="0"/>
                <w:sz w:val="24"/>
                <w:szCs w:val="24"/>
                <w:lang w:val="ru-RU" w:eastAsia="en-US"/>
              </w:rPr>
              <w:t>заповед</w:t>
            </w:r>
            <w:proofErr w:type="spellEnd"/>
            <w:r w:rsidRPr="00E37920">
              <w:rPr>
                <w:snapToGrid w:val="0"/>
                <w:sz w:val="24"/>
                <w:szCs w:val="24"/>
                <w:lang w:val="ru-RU" w:eastAsia="en-US"/>
              </w:rPr>
              <w:t xml:space="preserve"> на</w:t>
            </w:r>
            <w:proofErr w:type="gramEnd"/>
            <w:r w:rsidRPr="00E37920">
              <w:rPr>
                <w:snapToGrid w:val="0"/>
                <w:sz w:val="24"/>
                <w:szCs w:val="24"/>
                <w:lang w:val="ru-RU" w:eastAsia="en-US"/>
              </w:rPr>
              <w:t xml:space="preserve"> </w:t>
            </w:r>
            <w:proofErr w:type="spellStart"/>
            <w:r w:rsidRPr="00E37920">
              <w:rPr>
                <w:snapToGrid w:val="0"/>
                <w:sz w:val="24"/>
                <w:szCs w:val="24"/>
                <w:lang w:val="ru-RU" w:eastAsia="en-US"/>
              </w:rPr>
              <w:t>кмета</w:t>
            </w:r>
            <w:proofErr w:type="spellEnd"/>
            <w:r w:rsidRPr="00E37920">
              <w:rPr>
                <w:snapToGrid w:val="0"/>
                <w:sz w:val="24"/>
                <w:szCs w:val="24"/>
                <w:lang w:val="ru-RU" w:eastAsia="en-US"/>
              </w:rPr>
              <w:t xml:space="preserve"> за кандидат община </w:t>
            </w:r>
            <w:proofErr w:type="spellStart"/>
            <w:r w:rsidRPr="00E37920">
              <w:rPr>
                <w:snapToGrid w:val="0"/>
                <w:sz w:val="24"/>
                <w:szCs w:val="24"/>
                <w:lang w:val="ru-RU" w:eastAsia="en-US"/>
              </w:rPr>
              <w:t>Марица</w:t>
            </w:r>
            <w:proofErr w:type="spellEnd"/>
            <w:r w:rsidRPr="00E37920">
              <w:rPr>
                <w:snapToGrid w:val="0"/>
                <w:sz w:val="24"/>
                <w:szCs w:val="24"/>
                <w:lang w:val="ru-RU" w:eastAsia="en-US"/>
              </w:rPr>
              <w:t xml:space="preserve"> (в секция 12 от Формуляра).</w:t>
            </w:r>
          </w:p>
          <w:p w:rsidR="00E37920" w:rsidRPr="00BE2087"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t xml:space="preserve">Техническият процес свързан с представянето на проектното предложение е описан в Ръководството за потребителя за модул “Е-кандидатстване” в ИСУН 2020 от </w:t>
            </w:r>
            <w:r w:rsidR="00BE2087">
              <w:rPr>
                <w:rFonts w:eastAsia="Calibri"/>
                <w:sz w:val="24"/>
                <w:szCs w:val="24"/>
                <w:lang w:eastAsia="en-US"/>
              </w:rPr>
              <w:t xml:space="preserve"> </w:t>
            </w:r>
            <w:r w:rsidR="00BE2087">
              <w:rPr>
                <w:rFonts w:eastAsia="Calibri"/>
                <w:sz w:val="24"/>
                <w:szCs w:val="24"/>
                <w:lang w:val="en-GB" w:eastAsia="en-US"/>
              </w:rPr>
              <w:t>1</w:t>
            </w:r>
            <w:r w:rsidR="00BE2087">
              <w:rPr>
                <w:rFonts w:eastAsia="Calibri"/>
                <w:sz w:val="24"/>
                <w:szCs w:val="24"/>
                <w:lang w:eastAsia="en-US"/>
              </w:rPr>
              <w:t>8 декември 2020г.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lastRenderedPageBreak/>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4" w:name="_Toc479577173"/>
      <w:bookmarkStart w:id="45" w:name="_Toc508719525"/>
      <w:r>
        <w:rPr>
          <w:rFonts w:ascii="Times New Roman" w:hAnsi="Times New Roman" w:cs="Times New Roman"/>
          <w:color w:val="auto"/>
          <w:sz w:val="24"/>
          <w:szCs w:val="24"/>
        </w:rPr>
        <w:lastRenderedPageBreak/>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4"/>
      <w:bookmarkEnd w:id="45"/>
    </w:p>
    <w:tbl>
      <w:tblPr>
        <w:tblStyle w:val="a3"/>
        <w:tblW w:w="0" w:type="auto"/>
        <w:tblLook w:val="04A0" w:firstRow="1" w:lastRow="0" w:firstColumn="1" w:lastColumn="0" w:noHBand="0" w:noVBand="1"/>
      </w:tblPr>
      <w:tblGrid>
        <w:gridCol w:w="9288"/>
      </w:tblGrid>
      <w:tr w:rsidR="00F2672E" w:rsidTr="00284EF6">
        <w:tc>
          <w:tcPr>
            <w:tcW w:w="9288" w:type="dxa"/>
          </w:tcPr>
          <w:p w:rsidR="00D70502" w:rsidRPr="00DE6BFC" w:rsidRDefault="00D70502" w:rsidP="00D70502">
            <w:pPr>
              <w:shd w:val="clear" w:color="auto" w:fill="FEFEFE"/>
              <w:spacing w:line="240" w:lineRule="auto"/>
              <w:jc w:val="left"/>
              <w:rPr>
                <w:b/>
                <w:sz w:val="24"/>
                <w:szCs w:val="24"/>
              </w:rPr>
            </w:pPr>
            <w:r w:rsidRPr="00DE6BFC">
              <w:rPr>
                <w:b/>
                <w:sz w:val="24"/>
                <w:szCs w:val="24"/>
              </w:rPr>
              <w:t>І. Общи документи</w:t>
            </w:r>
          </w:p>
          <w:p w:rsidR="00504E98" w:rsidRPr="00DE6BFC" w:rsidRDefault="00D70502" w:rsidP="00D70502">
            <w:pPr>
              <w:tabs>
                <w:tab w:val="left" w:pos="4820"/>
              </w:tabs>
              <w:spacing w:before="120" w:after="120" w:line="240" w:lineRule="auto"/>
              <w:rPr>
                <w:b/>
                <w:sz w:val="24"/>
                <w:szCs w:val="24"/>
              </w:rPr>
            </w:pPr>
            <w:r w:rsidRPr="00DE6BFC">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504E98" w:rsidRPr="00DE6BFC">
              <w:rPr>
                <w:sz w:val="24"/>
                <w:szCs w:val="24"/>
              </w:rPr>
              <w:t xml:space="preserve"> </w:t>
            </w:r>
          </w:p>
          <w:p w:rsidR="003E0AE6" w:rsidRPr="00284EF6" w:rsidRDefault="003E0AE6" w:rsidP="00017307">
            <w:pPr>
              <w:pStyle w:val="a5"/>
              <w:numPr>
                <w:ilvl w:val="0"/>
                <w:numId w:val="47"/>
              </w:numPr>
              <w:ind w:left="0" w:firstLine="0"/>
              <w:jc w:val="both"/>
              <w:rPr>
                <w:sz w:val="24"/>
                <w:szCs w:val="24"/>
              </w:rPr>
            </w:pPr>
            <w:r w:rsidRPr="00284EF6">
              <w:rPr>
                <w:sz w:val="24"/>
                <w:szCs w:val="24"/>
              </w:rPr>
              <w:t xml:space="preserve">Таблица за допустими инвестиции в електронен формат, по образец на ДФЗ, наличен на </w:t>
            </w:r>
            <w:proofErr w:type="spellStart"/>
            <w:r w:rsidRPr="00284EF6">
              <w:rPr>
                <w:sz w:val="24"/>
                <w:szCs w:val="24"/>
                <w:lang w:val="en-US"/>
              </w:rPr>
              <w:t>интернет</w:t>
            </w:r>
            <w:proofErr w:type="spellEnd"/>
            <w:r w:rsidRPr="00284EF6">
              <w:rPr>
                <w:sz w:val="24"/>
                <w:szCs w:val="24"/>
                <w:lang w:val="en-US"/>
              </w:rPr>
              <w:t xml:space="preserve"> </w:t>
            </w:r>
            <w:proofErr w:type="spellStart"/>
            <w:r w:rsidRPr="00284EF6">
              <w:rPr>
                <w:sz w:val="24"/>
                <w:szCs w:val="24"/>
                <w:lang w:val="en-US"/>
              </w:rPr>
              <w:t>сайта</w:t>
            </w:r>
            <w:proofErr w:type="spellEnd"/>
            <w:r w:rsidRPr="00284EF6">
              <w:rPr>
                <w:sz w:val="24"/>
                <w:szCs w:val="24"/>
                <w:lang w:val="en-US"/>
              </w:rPr>
              <w:t xml:space="preserve"> </w:t>
            </w:r>
            <w:proofErr w:type="spellStart"/>
            <w:r w:rsidRPr="00284EF6">
              <w:rPr>
                <w:sz w:val="24"/>
                <w:szCs w:val="24"/>
                <w:lang w:val="en-US"/>
              </w:rPr>
              <w:t>на</w:t>
            </w:r>
            <w:proofErr w:type="spellEnd"/>
            <w:r w:rsidRPr="00284EF6">
              <w:rPr>
                <w:sz w:val="24"/>
                <w:szCs w:val="24"/>
                <w:lang w:val="en-US"/>
              </w:rPr>
              <w:t xml:space="preserve"> ДФЗ (</w:t>
            </w:r>
            <w:hyperlink r:id="rId10" w:history="1">
              <w:r w:rsidRPr="00284EF6">
                <w:rPr>
                  <w:sz w:val="24"/>
                  <w:szCs w:val="24"/>
                  <w:u w:val="single"/>
                  <w:lang w:val="en-US"/>
                </w:rPr>
                <w:t>http://dfz.bg/bg/prsr-2014-2020/merki-podpomagane</w:t>
              </w:r>
            </w:hyperlink>
            <w:r w:rsidR="007243D8" w:rsidRPr="00284EF6">
              <w:rPr>
                <w:sz w:val="24"/>
                <w:szCs w:val="24"/>
                <w:u w:val="single"/>
                <w:lang w:val="en-US"/>
              </w:rPr>
              <w:t>-ISUN</w:t>
            </w:r>
            <w:r w:rsidRPr="00284EF6">
              <w:rPr>
                <w:sz w:val="24"/>
                <w:szCs w:val="24"/>
                <w:lang w:val="en-US"/>
              </w:rPr>
              <w:t>)</w:t>
            </w:r>
            <w:r w:rsidRPr="00284EF6">
              <w:rPr>
                <w:sz w:val="24"/>
                <w:szCs w:val="24"/>
              </w:rPr>
              <w:t xml:space="preserve">, в раздел </w:t>
            </w:r>
            <w:proofErr w:type="spellStart"/>
            <w:r w:rsidRPr="00284EF6">
              <w:rPr>
                <w:sz w:val="24"/>
                <w:szCs w:val="24"/>
              </w:rPr>
              <w:t>Подмярка</w:t>
            </w:r>
            <w:proofErr w:type="spellEnd"/>
            <w:r w:rsidRPr="00284EF6">
              <w:rPr>
                <w:sz w:val="24"/>
                <w:szCs w:val="24"/>
              </w:rPr>
              <w:t xml:space="preserve"> 19.2 Прилагане на операции в рамките на стратегии за ВОМР</w:t>
            </w:r>
          </w:p>
          <w:p w:rsidR="002E6C92" w:rsidRPr="00284EF6" w:rsidRDefault="002E6C92" w:rsidP="007D387E">
            <w:pPr>
              <w:shd w:val="clear" w:color="auto" w:fill="FFFFFF"/>
              <w:rPr>
                <w:i/>
                <w:sz w:val="24"/>
                <w:szCs w:val="24"/>
              </w:rPr>
            </w:pPr>
            <w:r w:rsidRPr="00284EF6">
              <w:rPr>
                <w:i/>
                <w:sz w:val="24"/>
                <w:szCs w:val="24"/>
              </w:rPr>
              <w:t>Таблицата за допустими инвестиции се подава във формат „</w:t>
            </w:r>
            <w:proofErr w:type="spellStart"/>
            <w:r w:rsidRPr="00284EF6">
              <w:rPr>
                <w:i/>
                <w:sz w:val="24"/>
                <w:szCs w:val="24"/>
              </w:rPr>
              <w:t>xls</w:t>
            </w:r>
            <w:proofErr w:type="spellEnd"/>
            <w:r w:rsidRPr="00284EF6">
              <w:rPr>
                <w:i/>
                <w:sz w:val="24"/>
                <w:szCs w:val="24"/>
              </w:rPr>
              <w:t>”/„</w:t>
            </w:r>
            <w:proofErr w:type="spellStart"/>
            <w:r w:rsidRPr="00284EF6">
              <w:rPr>
                <w:i/>
                <w:sz w:val="24"/>
                <w:szCs w:val="24"/>
              </w:rPr>
              <w:t>xlsx</w:t>
            </w:r>
            <w:proofErr w:type="spellEnd"/>
            <w:r w:rsidRPr="00284EF6">
              <w:rPr>
                <w:i/>
                <w:sz w:val="24"/>
                <w:szCs w:val="24"/>
              </w:rPr>
              <w:t xml:space="preserve"> и във формат "</w:t>
            </w:r>
            <w:proofErr w:type="spellStart"/>
            <w:r w:rsidRPr="00284EF6">
              <w:rPr>
                <w:i/>
                <w:sz w:val="24"/>
                <w:szCs w:val="24"/>
              </w:rPr>
              <w:t>pdf</w:t>
            </w:r>
            <w:proofErr w:type="spellEnd"/>
            <w:r w:rsidRPr="00284EF6">
              <w:rPr>
                <w:i/>
                <w:sz w:val="24"/>
                <w:szCs w:val="24"/>
              </w:rPr>
              <w:t xml:space="preserve">", съгласно указанията по </w:t>
            </w:r>
            <w:r w:rsidR="00004BC0">
              <w:rPr>
                <w:i/>
                <w:sz w:val="24"/>
                <w:szCs w:val="24"/>
              </w:rPr>
              <w:t xml:space="preserve">раздел </w:t>
            </w:r>
            <w:r w:rsidRPr="00284EF6">
              <w:rPr>
                <w:i/>
                <w:sz w:val="24"/>
                <w:szCs w:val="24"/>
              </w:rPr>
              <w:t>23 от Условията за кандидатстване.</w:t>
            </w:r>
          </w:p>
          <w:p w:rsidR="007D387E" w:rsidRPr="00284EF6" w:rsidRDefault="004B4596" w:rsidP="007D387E">
            <w:pPr>
              <w:shd w:val="clear" w:color="auto" w:fill="FFFFFF"/>
              <w:rPr>
                <w:sz w:val="24"/>
                <w:szCs w:val="24"/>
              </w:rPr>
            </w:pPr>
            <w:r w:rsidRPr="00284EF6">
              <w:rPr>
                <w:sz w:val="24"/>
                <w:szCs w:val="24"/>
              </w:rPr>
              <w:t xml:space="preserve">2. </w:t>
            </w:r>
            <w:r w:rsidR="002D2595" w:rsidRPr="00284EF6">
              <w:rPr>
                <w:sz w:val="24"/>
                <w:szCs w:val="24"/>
              </w:rPr>
              <w:t xml:space="preserve">Декларация </w:t>
            </w:r>
            <w:r w:rsidR="00B050EF" w:rsidRPr="00284EF6">
              <w:rPr>
                <w:sz w:val="24"/>
                <w:szCs w:val="24"/>
              </w:rPr>
              <w:t xml:space="preserve">съгласие и информираност за обработване на лични данни </w:t>
            </w:r>
            <w:r w:rsidR="007D387E" w:rsidRPr="00284EF6">
              <w:rPr>
                <w:sz w:val="24"/>
                <w:szCs w:val="24"/>
              </w:rPr>
              <w:t>по чл. 47, ал. 2, т.2 от Наредба № 22, Приложе</w:t>
            </w:r>
            <w:r w:rsidR="00404CEA" w:rsidRPr="00284EF6">
              <w:rPr>
                <w:sz w:val="24"/>
                <w:szCs w:val="24"/>
              </w:rPr>
              <w:t>ние №</w:t>
            </w:r>
            <w:r w:rsidR="004F7A55" w:rsidRPr="00284EF6">
              <w:rPr>
                <w:sz w:val="24"/>
                <w:szCs w:val="24"/>
              </w:rPr>
              <w:t xml:space="preserve"> </w:t>
            </w:r>
            <w:r w:rsidR="00404CEA" w:rsidRPr="00284EF6">
              <w:rPr>
                <w:sz w:val="24"/>
                <w:szCs w:val="24"/>
              </w:rPr>
              <w:t>6</w:t>
            </w:r>
            <w:r w:rsidR="007D387E" w:rsidRPr="00284EF6">
              <w:rPr>
                <w:sz w:val="24"/>
                <w:szCs w:val="24"/>
              </w:rPr>
              <w:t xml:space="preserve"> към Условията за кандидатстване</w:t>
            </w:r>
          </w:p>
          <w:p w:rsidR="004B4596" w:rsidRPr="00284EF6" w:rsidRDefault="00EA74DD" w:rsidP="004B4596">
            <w:pPr>
              <w:shd w:val="clear" w:color="auto" w:fill="FFFFFF"/>
              <w:rPr>
                <w:sz w:val="24"/>
                <w:szCs w:val="24"/>
              </w:rPr>
            </w:pPr>
            <w:r w:rsidRPr="00284EF6">
              <w:rPr>
                <w:sz w:val="24"/>
                <w:szCs w:val="24"/>
              </w:rPr>
              <w:t>3.</w:t>
            </w:r>
            <w:r w:rsidR="004B4596" w:rsidRPr="00284EF6">
              <w:rPr>
                <w:sz w:val="24"/>
                <w:szCs w:val="24"/>
              </w:rPr>
              <w:t xml:space="preserve">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D72BFC" w:rsidRPr="00284EF6" w:rsidRDefault="00D72BFC" w:rsidP="00D72BFC">
            <w:pPr>
              <w:shd w:val="clear" w:color="auto" w:fill="FFFFFF"/>
              <w:spacing w:line="242" w:lineRule="atLeast"/>
              <w:ind w:left="80"/>
              <w:rPr>
                <w:i/>
                <w:sz w:val="24"/>
                <w:szCs w:val="24"/>
                <w:lang w:val="en-US" w:eastAsia="en-US"/>
              </w:rPr>
            </w:pPr>
            <w:proofErr w:type="spellStart"/>
            <w:r w:rsidRPr="00284EF6">
              <w:rPr>
                <w:i/>
                <w:spacing w:val="-6"/>
                <w:sz w:val="24"/>
                <w:szCs w:val="24"/>
                <w:lang w:val="en-US" w:eastAsia="en-US"/>
              </w:rPr>
              <w:t>Когато</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формулярът</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за</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кандидатстване</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не</w:t>
            </w:r>
            <w:proofErr w:type="spellEnd"/>
            <w:r w:rsidRPr="00284EF6">
              <w:rPr>
                <w:i/>
                <w:spacing w:val="-6"/>
                <w:sz w:val="24"/>
                <w:szCs w:val="24"/>
                <w:lang w:val="en-US" w:eastAsia="en-US"/>
              </w:rPr>
              <w:t xml:space="preserve"> е </w:t>
            </w:r>
            <w:proofErr w:type="spellStart"/>
            <w:r w:rsidRPr="00284EF6">
              <w:rPr>
                <w:i/>
                <w:spacing w:val="-6"/>
                <w:sz w:val="24"/>
                <w:szCs w:val="24"/>
                <w:lang w:val="en-US" w:eastAsia="en-US"/>
              </w:rPr>
              <w:t>подписан</w:t>
            </w:r>
            <w:proofErr w:type="spellEnd"/>
            <w:r w:rsidRPr="00284EF6">
              <w:rPr>
                <w:i/>
                <w:spacing w:val="-6"/>
                <w:sz w:val="24"/>
                <w:szCs w:val="24"/>
                <w:lang w:val="en-US" w:eastAsia="en-US"/>
              </w:rPr>
              <w:t xml:space="preserve"> с</w:t>
            </w:r>
            <w:proofErr w:type="gramStart"/>
            <w:r w:rsidRPr="00284EF6">
              <w:rPr>
                <w:i/>
                <w:spacing w:val="-6"/>
                <w:sz w:val="24"/>
                <w:szCs w:val="24"/>
                <w:lang w:val="en-US" w:eastAsia="en-US"/>
              </w:rPr>
              <w:t> </w:t>
            </w:r>
            <w:r w:rsidRPr="00284EF6">
              <w:rPr>
                <w:i/>
                <w:spacing w:val="-3"/>
                <w:sz w:val="24"/>
                <w:szCs w:val="24"/>
                <w:lang w:val="en-US" w:eastAsia="en-US"/>
              </w:rPr>
              <w:t> КЕП</w:t>
            </w:r>
            <w:proofErr w:type="gramEnd"/>
            <w:r w:rsidRPr="00284EF6">
              <w:rPr>
                <w:i/>
                <w:spacing w:val="-3"/>
                <w:sz w:val="24"/>
                <w:szCs w:val="24"/>
                <w:lang w:val="en-US" w:eastAsia="en-US"/>
              </w:rPr>
              <w:t xml:space="preserve"> </w:t>
            </w:r>
            <w:proofErr w:type="spellStart"/>
            <w:r w:rsidRPr="00284EF6">
              <w:rPr>
                <w:i/>
                <w:spacing w:val="-3"/>
                <w:sz w:val="24"/>
                <w:szCs w:val="24"/>
                <w:lang w:val="en-US" w:eastAsia="en-US"/>
              </w:rPr>
              <w:t>от</w:t>
            </w:r>
            <w:proofErr w:type="spellEnd"/>
            <w:r w:rsidRPr="00284EF6">
              <w:rPr>
                <w:i/>
                <w:spacing w:val="-3"/>
                <w:sz w:val="24"/>
                <w:szCs w:val="24"/>
                <w:lang w:val="en-US" w:eastAsia="en-US"/>
              </w:rPr>
              <w:t xml:space="preserve"> </w:t>
            </w:r>
            <w:proofErr w:type="spellStart"/>
            <w:r w:rsidRPr="00284EF6">
              <w:rPr>
                <w:i/>
                <w:spacing w:val="-3"/>
                <w:sz w:val="24"/>
                <w:szCs w:val="24"/>
                <w:lang w:val="en-US" w:eastAsia="en-US"/>
              </w:rPr>
              <w:t>законния</w:t>
            </w:r>
            <w:proofErr w:type="spellEnd"/>
            <w:r w:rsidRPr="00284EF6">
              <w:rPr>
                <w:i/>
                <w:spacing w:val="-3"/>
                <w:sz w:val="24"/>
                <w:szCs w:val="24"/>
                <w:lang w:val="en-US" w:eastAsia="en-US"/>
              </w:rPr>
              <w:t>/</w:t>
            </w:r>
            <w:proofErr w:type="spellStart"/>
            <w:r w:rsidRPr="00284EF6">
              <w:rPr>
                <w:i/>
                <w:spacing w:val="-3"/>
                <w:sz w:val="24"/>
                <w:szCs w:val="24"/>
                <w:lang w:val="en-US" w:eastAsia="en-US"/>
              </w:rPr>
              <w:t>ните</w:t>
            </w:r>
            <w:proofErr w:type="spellEnd"/>
            <w:r w:rsidRPr="00284EF6">
              <w:rPr>
                <w:i/>
                <w:spacing w:val="-3"/>
                <w:sz w:val="24"/>
                <w:szCs w:val="24"/>
                <w:lang w:val="en-US" w:eastAsia="en-US"/>
              </w:rPr>
              <w:t>  </w:t>
            </w:r>
            <w:proofErr w:type="spellStart"/>
            <w:r w:rsidRPr="00284EF6">
              <w:rPr>
                <w:i/>
                <w:spacing w:val="-3"/>
                <w:sz w:val="24"/>
                <w:szCs w:val="24"/>
                <w:lang w:val="en-US" w:eastAsia="en-US"/>
              </w:rPr>
              <w:t>представител</w:t>
            </w:r>
            <w:proofErr w:type="spellEnd"/>
            <w:r w:rsidRPr="00284EF6">
              <w:rPr>
                <w:i/>
                <w:spacing w:val="-3"/>
                <w:sz w:val="24"/>
                <w:szCs w:val="24"/>
                <w:lang w:val="en-US" w:eastAsia="en-US"/>
              </w:rPr>
              <w:t>/и  </w:t>
            </w:r>
            <w:proofErr w:type="spellStart"/>
            <w:r w:rsidRPr="00284EF6">
              <w:rPr>
                <w:i/>
                <w:spacing w:val="-3"/>
                <w:sz w:val="24"/>
                <w:szCs w:val="24"/>
                <w:lang w:val="en-US" w:eastAsia="en-US"/>
              </w:rPr>
              <w:t>на</w:t>
            </w:r>
            <w:proofErr w:type="spellEnd"/>
            <w:r w:rsidRPr="00284EF6">
              <w:rPr>
                <w:i/>
                <w:spacing w:val="-3"/>
                <w:sz w:val="24"/>
                <w:szCs w:val="24"/>
                <w:lang w:val="en-US" w:eastAsia="en-US"/>
              </w:rPr>
              <w:t xml:space="preserve"> </w:t>
            </w:r>
            <w:proofErr w:type="spellStart"/>
            <w:r w:rsidRPr="00284EF6">
              <w:rPr>
                <w:i/>
                <w:spacing w:val="-3"/>
                <w:sz w:val="24"/>
                <w:szCs w:val="24"/>
                <w:lang w:val="en-US" w:eastAsia="en-US"/>
              </w:rPr>
              <w:t>кандидата</w:t>
            </w:r>
            <w:proofErr w:type="spellEnd"/>
            <w:r w:rsidRPr="00284EF6">
              <w:rPr>
                <w:i/>
                <w:spacing w:val="-3"/>
                <w:sz w:val="24"/>
                <w:szCs w:val="24"/>
                <w:lang w:val="en-US" w:eastAsia="en-US"/>
              </w:rPr>
              <w:t xml:space="preserve"> </w:t>
            </w:r>
            <w:r w:rsidRPr="00284EF6">
              <w:rPr>
                <w:i/>
                <w:spacing w:val="-3"/>
                <w:sz w:val="24"/>
                <w:szCs w:val="24"/>
                <w:lang w:eastAsia="en-US"/>
              </w:rPr>
              <w:t>следва да с</w:t>
            </w:r>
            <w:r w:rsidRPr="00284EF6">
              <w:rPr>
                <w:i/>
                <w:spacing w:val="-3"/>
                <w:sz w:val="24"/>
                <w:szCs w:val="24"/>
                <w:lang w:val="en-US" w:eastAsia="en-US"/>
              </w:rPr>
              <w:t xml:space="preserve">е </w:t>
            </w:r>
            <w:proofErr w:type="spellStart"/>
            <w:r w:rsidRPr="00284EF6">
              <w:rPr>
                <w:i/>
                <w:spacing w:val="-3"/>
                <w:sz w:val="24"/>
                <w:szCs w:val="24"/>
                <w:lang w:val="en-US" w:eastAsia="en-US"/>
              </w:rPr>
              <w:t>прикач</w:t>
            </w:r>
            <w:proofErr w:type="spellEnd"/>
            <w:r w:rsidRPr="00284EF6">
              <w:rPr>
                <w:i/>
                <w:spacing w:val="-3"/>
                <w:sz w:val="24"/>
                <w:szCs w:val="24"/>
                <w:lang w:eastAsia="en-US"/>
              </w:rPr>
              <w:t>и</w:t>
            </w:r>
            <w:r w:rsidRPr="00284EF6">
              <w:rPr>
                <w:i/>
                <w:spacing w:val="-3"/>
                <w:sz w:val="24"/>
                <w:szCs w:val="24"/>
                <w:lang w:val="en-US" w:eastAsia="en-US"/>
              </w:rPr>
              <w:t> </w:t>
            </w:r>
            <w:proofErr w:type="spellStart"/>
            <w:r w:rsidRPr="00284EF6">
              <w:rPr>
                <w:i/>
                <w:sz w:val="24"/>
                <w:szCs w:val="24"/>
                <w:lang w:val="en-US" w:eastAsia="en-US"/>
              </w:rPr>
              <w:t>нотариално</w:t>
            </w:r>
            <w:proofErr w:type="spellEnd"/>
            <w:r w:rsidRPr="00284EF6">
              <w:rPr>
                <w:i/>
                <w:sz w:val="24"/>
                <w:szCs w:val="24"/>
                <w:lang w:val="en-US" w:eastAsia="en-US"/>
              </w:rPr>
              <w:t xml:space="preserve">/и </w:t>
            </w:r>
            <w:proofErr w:type="spellStart"/>
            <w:r w:rsidRPr="00284EF6">
              <w:rPr>
                <w:i/>
                <w:sz w:val="24"/>
                <w:szCs w:val="24"/>
                <w:lang w:val="en-US" w:eastAsia="en-US"/>
              </w:rPr>
              <w:t>заверено</w:t>
            </w:r>
            <w:proofErr w:type="spellEnd"/>
            <w:r w:rsidRPr="00284EF6">
              <w:rPr>
                <w:i/>
                <w:sz w:val="24"/>
                <w:szCs w:val="24"/>
                <w:lang w:val="en-US" w:eastAsia="en-US"/>
              </w:rPr>
              <w:t xml:space="preserve">/и </w:t>
            </w:r>
            <w:proofErr w:type="spellStart"/>
            <w:r w:rsidRPr="00284EF6">
              <w:rPr>
                <w:i/>
                <w:sz w:val="24"/>
                <w:szCs w:val="24"/>
                <w:lang w:val="en-US" w:eastAsia="en-US"/>
              </w:rPr>
              <w:t>пълномощно</w:t>
            </w:r>
            <w:proofErr w:type="spellEnd"/>
            <w:r w:rsidRPr="00284EF6">
              <w:rPr>
                <w:i/>
                <w:sz w:val="24"/>
                <w:szCs w:val="24"/>
                <w:lang w:val="en-US" w:eastAsia="en-US"/>
              </w:rPr>
              <w:t xml:space="preserve">/и </w:t>
            </w:r>
            <w:proofErr w:type="spellStart"/>
            <w:r w:rsidRPr="00284EF6">
              <w:rPr>
                <w:i/>
                <w:sz w:val="24"/>
                <w:szCs w:val="24"/>
                <w:lang w:val="en-US" w:eastAsia="en-US"/>
              </w:rPr>
              <w:t>от</w:t>
            </w:r>
            <w:proofErr w:type="spellEnd"/>
            <w:r w:rsidRPr="00284EF6">
              <w:rPr>
                <w:i/>
                <w:sz w:val="24"/>
                <w:szCs w:val="24"/>
                <w:lang w:val="en-US" w:eastAsia="en-US"/>
              </w:rPr>
              <w:t> </w:t>
            </w:r>
            <w:proofErr w:type="spellStart"/>
            <w:r w:rsidRPr="00284EF6">
              <w:rPr>
                <w:i/>
                <w:spacing w:val="-6"/>
                <w:sz w:val="24"/>
                <w:szCs w:val="24"/>
                <w:lang w:val="en-US" w:eastAsia="en-US"/>
              </w:rPr>
              <w:t>съответното</w:t>
            </w:r>
            <w:proofErr w:type="spellEnd"/>
            <w:r w:rsidRPr="00284EF6">
              <w:rPr>
                <w:i/>
                <w:spacing w:val="-6"/>
                <w:sz w:val="24"/>
                <w:szCs w:val="24"/>
                <w:lang w:val="en-US" w:eastAsia="en-US"/>
              </w:rPr>
              <w:t>/</w:t>
            </w:r>
            <w:proofErr w:type="spellStart"/>
            <w:r w:rsidRPr="00284EF6">
              <w:rPr>
                <w:i/>
                <w:spacing w:val="-6"/>
                <w:sz w:val="24"/>
                <w:szCs w:val="24"/>
                <w:lang w:val="en-US" w:eastAsia="en-US"/>
              </w:rPr>
              <w:t>ите</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упълномощено</w:t>
            </w:r>
            <w:proofErr w:type="spellEnd"/>
            <w:r w:rsidRPr="00284EF6">
              <w:rPr>
                <w:i/>
                <w:spacing w:val="-6"/>
                <w:sz w:val="24"/>
                <w:szCs w:val="24"/>
                <w:lang w:val="en-US" w:eastAsia="en-US"/>
              </w:rPr>
              <w:t>/и  </w:t>
            </w:r>
            <w:proofErr w:type="spellStart"/>
            <w:r w:rsidRPr="00284EF6">
              <w:rPr>
                <w:i/>
                <w:spacing w:val="-6"/>
                <w:sz w:val="24"/>
                <w:szCs w:val="24"/>
                <w:lang w:val="en-US" w:eastAsia="en-US"/>
              </w:rPr>
              <w:t>лице</w:t>
            </w:r>
            <w:proofErr w:type="spellEnd"/>
            <w:r w:rsidRPr="00284EF6">
              <w:rPr>
                <w:i/>
                <w:spacing w:val="-6"/>
                <w:sz w:val="24"/>
                <w:szCs w:val="24"/>
                <w:lang w:val="en-US" w:eastAsia="en-US"/>
              </w:rPr>
              <w:t xml:space="preserve">/а </w:t>
            </w:r>
            <w:proofErr w:type="spellStart"/>
            <w:r w:rsidRPr="00284EF6">
              <w:rPr>
                <w:i/>
                <w:spacing w:val="-6"/>
                <w:sz w:val="24"/>
                <w:szCs w:val="24"/>
                <w:lang w:val="en-US" w:eastAsia="en-US"/>
              </w:rPr>
              <w:t>или</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заповед</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на</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кмета</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за</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кандидат</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община</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Марица</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във</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формат</w:t>
            </w:r>
            <w:proofErr w:type="spellEnd"/>
            <w:r w:rsidRPr="00284EF6">
              <w:rPr>
                <w:i/>
                <w:spacing w:val="-6"/>
                <w:sz w:val="24"/>
                <w:szCs w:val="24"/>
                <w:lang w:val="en-US" w:eastAsia="en-US"/>
              </w:rPr>
              <w:t xml:space="preserve"> .</w:t>
            </w:r>
            <w:proofErr w:type="spellStart"/>
            <w:r w:rsidRPr="00284EF6">
              <w:rPr>
                <w:i/>
                <w:spacing w:val="-6"/>
                <w:sz w:val="24"/>
                <w:szCs w:val="24"/>
                <w:lang w:val="en-US" w:eastAsia="en-US"/>
              </w:rPr>
              <w:t>pdf</w:t>
            </w:r>
            <w:proofErr w:type="spellEnd"/>
            <w:r w:rsidRPr="00284EF6">
              <w:rPr>
                <w:i/>
                <w:sz w:val="24"/>
                <w:szCs w:val="24"/>
                <w:lang w:val="en-US" w:eastAsia="en-US"/>
              </w:rPr>
              <w:t>.</w:t>
            </w:r>
          </w:p>
          <w:p w:rsidR="00D72BFC" w:rsidRPr="00284EF6" w:rsidRDefault="00506591" w:rsidP="00506591">
            <w:pPr>
              <w:shd w:val="clear" w:color="auto" w:fill="FFFFFF"/>
              <w:spacing w:line="242" w:lineRule="atLeast"/>
              <w:ind w:left="80"/>
              <w:rPr>
                <w:i/>
                <w:spacing w:val="-6"/>
                <w:sz w:val="24"/>
                <w:szCs w:val="24"/>
                <w:lang w:eastAsia="en-US"/>
              </w:rPr>
            </w:pPr>
            <w:r w:rsidRPr="00284EF6">
              <w:rPr>
                <w:i/>
                <w:sz w:val="24"/>
                <w:szCs w:val="24"/>
                <w:lang w:eastAsia="en-US"/>
              </w:rPr>
              <w:t>О</w:t>
            </w:r>
            <w:r w:rsidR="00D72BFC" w:rsidRPr="00284EF6">
              <w:rPr>
                <w:i/>
                <w:sz w:val="24"/>
                <w:szCs w:val="24"/>
                <w:lang w:val="en-US" w:eastAsia="en-US"/>
              </w:rPr>
              <w:t xml:space="preserve">т </w:t>
            </w:r>
            <w:proofErr w:type="spellStart"/>
            <w:r w:rsidR="00D72BFC" w:rsidRPr="00284EF6">
              <w:rPr>
                <w:i/>
                <w:sz w:val="24"/>
                <w:szCs w:val="24"/>
                <w:lang w:val="en-US" w:eastAsia="en-US"/>
              </w:rPr>
              <w:t>текста</w:t>
            </w:r>
            <w:proofErr w:type="spellEnd"/>
            <w:r w:rsidR="00D72BFC" w:rsidRPr="00284EF6">
              <w:rPr>
                <w:i/>
                <w:sz w:val="24"/>
                <w:szCs w:val="24"/>
                <w:lang w:val="en-US" w:eastAsia="en-US"/>
              </w:rPr>
              <w:t xml:space="preserve"> </w:t>
            </w:r>
            <w:proofErr w:type="spellStart"/>
            <w:r w:rsidR="00D72BFC" w:rsidRPr="00284EF6">
              <w:rPr>
                <w:i/>
                <w:sz w:val="24"/>
                <w:szCs w:val="24"/>
                <w:lang w:val="en-US" w:eastAsia="en-US"/>
              </w:rPr>
              <w:t>на</w:t>
            </w:r>
            <w:proofErr w:type="spellEnd"/>
            <w:r w:rsidR="00D72BFC" w:rsidRPr="00284EF6">
              <w:rPr>
                <w:i/>
                <w:sz w:val="24"/>
                <w:szCs w:val="24"/>
                <w:lang w:val="en-US" w:eastAsia="en-US"/>
              </w:rPr>
              <w:t xml:space="preserve"> </w:t>
            </w:r>
            <w:proofErr w:type="spellStart"/>
            <w:r w:rsidR="00D72BFC" w:rsidRPr="00284EF6">
              <w:rPr>
                <w:i/>
                <w:sz w:val="24"/>
                <w:szCs w:val="24"/>
                <w:lang w:val="en-US" w:eastAsia="en-US"/>
              </w:rPr>
              <w:t>пълномощното</w:t>
            </w:r>
            <w:proofErr w:type="spellEnd"/>
            <w:r w:rsidR="00D72BFC" w:rsidRPr="00284EF6">
              <w:rPr>
                <w:i/>
                <w:sz w:val="24"/>
                <w:szCs w:val="24"/>
                <w:lang w:val="en-US" w:eastAsia="en-US"/>
              </w:rPr>
              <w:t>/</w:t>
            </w:r>
            <w:proofErr w:type="spellStart"/>
            <w:r w:rsidR="00D72BFC" w:rsidRPr="00284EF6">
              <w:rPr>
                <w:i/>
                <w:sz w:val="24"/>
                <w:szCs w:val="24"/>
                <w:lang w:val="en-US" w:eastAsia="en-US"/>
              </w:rPr>
              <w:t>ите</w:t>
            </w:r>
            <w:proofErr w:type="spellEnd"/>
            <w:r w:rsidR="00D72BFC" w:rsidRPr="00284EF6">
              <w:rPr>
                <w:i/>
                <w:sz w:val="24"/>
                <w:szCs w:val="24"/>
                <w:lang w:eastAsia="en-US"/>
              </w:rPr>
              <w:t>/заповедта на кмета</w:t>
            </w:r>
            <w:r w:rsidR="00D72BFC" w:rsidRPr="00284EF6">
              <w:rPr>
                <w:i/>
                <w:sz w:val="24"/>
                <w:szCs w:val="24"/>
                <w:lang w:val="en-US" w:eastAsia="en-US"/>
              </w:rPr>
              <w:t xml:space="preserve"> </w:t>
            </w:r>
            <w:r w:rsidRPr="00284EF6">
              <w:rPr>
                <w:i/>
                <w:sz w:val="24"/>
                <w:szCs w:val="24"/>
                <w:lang w:eastAsia="en-US"/>
              </w:rPr>
              <w:t xml:space="preserve">трябва </w:t>
            </w:r>
            <w:r w:rsidR="00D72BFC" w:rsidRPr="00284EF6">
              <w:rPr>
                <w:i/>
                <w:sz w:val="24"/>
                <w:szCs w:val="24"/>
                <w:lang w:eastAsia="en-US"/>
              </w:rPr>
              <w:t xml:space="preserve">да </w:t>
            </w:r>
            <w:proofErr w:type="spellStart"/>
            <w:r w:rsidR="00D72BFC" w:rsidRPr="00284EF6">
              <w:rPr>
                <w:i/>
                <w:sz w:val="24"/>
                <w:szCs w:val="24"/>
                <w:lang w:val="en-US" w:eastAsia="en-US"/>
              </w:rPr>
              <w:t>става</w:t>
            </w:r>
            <w:proofErr w:type="spellEnd"/>
            <w:r w:rsidR="00D72BFC" w:rsidRPr="00284EF6">
              <w:rPr>
                <w:i/>
                <w:sz w:val="24"/>
                <w:szCs w:val="24"/>
                <w:lang w:val="en-US" w:eastAsia="en-US"/>
              </w:rPr>
              <w:t xml:space="preserve"> </w:t>
            </w:r>
            <w:proofErr w:type="spellStart"/>
            <w:r w:rsidR="00D72BFC" w:rsidRPr="00284EF6">
              <w:rPr>
                <w:i/>
                <w:sz w:val="24"/>
                <w:szCs w:val="24"/>
                <w:lang w:val="en-US" w:eastAsia="en-US"/>
              </w:rPr>
              <w:t>ясно</w:t>
            </w:r>
            <w:proofErr w:type="spellEnd"/>
            <w:r w:rsidR="00D72BFC" w:rsidRPr="00284EF6">
              <w:rPr>
                <w:i/>
                <w:sz w:val="24"/>
                <w:szCs w:val="24"/>
                <w:lang w:val="en-US" w:eastAsia="en-US"/>
              </w:rPr>
              <w:t xml:space="preserve">, </w:t>
            </w:r>
            <w:proofErr w:type="spellStart"/>
            <w:r w:rsidR="00D72BFC" w:rsidRPr="00284EF6">
              <w:rPr>
                <w:i/>
                <w:sz w:val="24"/>
                <w:szCs w:val="24"/>
                <w:lang w:val="en-US" w:eastAsia="en-US"/>
              </w:rPr>
              <w:t>че</w:t>
            </w:r>
            <w:proofErr w:type="spellEnd"/>
            <w:r w:rsidR="00D72BFC" w:rsidRPr="00284EF6">
              <w:rPr>
                <w:i/>
                <w:sz w:val="24"/>
                <w:szCs w:val="24"/>
                <w:lang w:val="en-US" w:eastAsia="en-US"/>
              </w:rPr>
              <w:t xml:space="preserve"> </w:t>
            </w:r>
            <w:r w:rsidR="00D72BFC" w:rsidRPr="00284EF6">
              <w:rPr>
                <w:i/>
                <w:sz w:val="24"/>
                <w:szCs w:val="24"/>
                <w:lang w:eastAsia="en-US"/>
              </w:rPr>
              <w:t>п</w:t>
            </w:r>
            <w:r w:rsidRPr="00284EF6">
              <w:rPr>
                <w:i/>
                <w:sz w:val="24"/>
                <w:szCs w:val="24"/>
                <w:lang w:eastAsia="en-US"/>
              </w:rPr>
              <w:t xml:space="preserve">редставляващия/представляващите </w:t>
            </w:r>
            <w:proofErr w:type="spellStart"/>
            <w:r w:rsidR="00D72BFC" w:rsidRPr="00284EF6">
              <w:rPr>
                <w:i/>
                <w:sz w:val="24"/>
                <w:szCs w:val="24"/>
                <w:lang w:val="en-US" w:eastAsia="en-US"/>
              </w:rPr>
              <w:t>кандидата</w:t>
            </w:r>
            <w:proofErr w:type="spellEnd"/>
            <w:r w:rsidR="00D72BFC" w:rsidRPr="00284EF6">
              <w:rPr>
                <w:i/>
                <w:sz w:val="24"/>
                <w:szCs w:val="24"/>
                <w:lang w:val="en-US" w:eastAsia="en-US"/>
              </w:rPr>
              <w:t> </w:t>
            </w:r>
            <w:proofErr w:type="spellStart"/>
            <w:r w:rsidR="00D72BFC" w:rsidRPr="00284EF6">
              <w:rPr>
                <w:i/>
                <w:spacing w:val="-4"/>
                <w:sz w:val="24"/>
                <w:szCs w:val="24"/>
                <w:lang w:val="en-US" w:eastAsia="en-US"/>
              </w:rPr>
              <w:t>упълномощава</w:t>
            </w:r>
            <w:proofErr w:type="spellEnd"/>
            <w:r w:rsidR="00D72BFC" w:rsidRPr="00284EF6">
              <w:rPr>
                <w:i/>
                <w:spacing w:val="-4"/>
                <w:sz w:val="24"/>
                <w:szCs w:val="24"/>
                <w:lang w:val="en-US" w:eastAsia="en-US"/>
              </w:rPr>
              <w:t>/т</w:t>
            </w:r>
            <w:r w:rsidR="00D72BFC" w:rsidRPr="00284EF6">
              <w:rPr>
                <w:i/>
                <w:spacing w:val="-4"/>
                <w:sz w:val="24"/>
                <w:szCs w:val="24"/>
                <w:lang w:eastAsia="en-US"/>
              </w:rPr>
              <w:t>/определя съответното</w:t>
            </w:r>
            <w:r w:rsidR="00D72BFC" w:rsidRPr="00284EF6">
              <w:rPr>
                <w:i/>
                <w:spacing w:val="-4"/>
                <w:sz w:val="24"/>
                <w:szCs w:val="24"/>
                <w:lang w:val="en-US" w:eastAsia="en-US"/>
              </w:rPr>
              <w:t xml:space="preserve"> </w:t>
            </w:r>
            <w:r w:rsidR="00D72BFC" w:rsidRPr="00284EF6">
              <w:rPr>
                <w:i/>
                <w:spacing w:val="-4"/>
                <w:sz w:val="24"/>
                <w:szCs w:val="24"/>
                <w:lang w:eastAsia="en-US"/>
              </w:rPr>
              <w:t xml:space="preserve">лице, което </w:t>
            </w:r>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да</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подаде</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от</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негово</w:t>
            </w:r>
            <w:proofErr w:type="spellEnd"/>
            <w:r w:rsidR="00D72BFC" w:rsidRPr="00284EF6">
              <w:rPr>
                <w:i/>
                <w:spacing w:val="-4"/>
                <w:sz w:val="24"/>
                <w:szCs w:val="24"/>
                <w:lang w:val="en-US" w:eastAsia="en-US"/>
              </w:rPr>
              <w:t>/</w:t>
            </w:r>
            <w:proofErr w:type="spellStart"/>
            <w:r w:rsidR="00D72BFC" w:rsidRPr="00284EF6">
              <w:rPr>
                <w:i/>
                <w:spacing w:val="-4"/>
                <w:sz w:val="24"/>
                <w:szCs w:val="24"/>
                <w:lang w:val="en-US" w:eastAsia="en-US"/>
              </w:rPr>
              <w:t>тяхно</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име</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формуляра</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за</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кандидатстване</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като</w:t>
            </w:r>
            <w:proofErr w:type="spellEnd"/>
            <w:r w:rsidR="00D72BFC" w:rsidRPr="00284EF6">
              <w:rPr>
                <w:i/>
                <w:spacing w:val="-4"/>
                <w:sz w:val="24"/>
                <w:szCs w:val="24"/>
                <w:lang w:val="en-US" w:eastAsia="en-US"/>
              </w:rPr>
              <w:t xml:space="preserve"> </w:t>
            </w:r>
            <w:proofErr w:type="spellStart"/>
            <w:r w:rsidR="00D72BFC" w:rsidRPr="00284EF6">
              <w:rPr>
                <w:i/>
                <w:spacing w:val="-4"/>
                <w:sz w:val="24"/>
                <w:szCs w:val="24"/>
                <w:lang w:val="en-US" w:eastAsia="en-US"/>
              </w:rPr>
              <w:t>го</w:t>
            </w:r>
            <w:proofErr w:type="spellEnd"/>
            <w:r w:rsidR="00D72BFC" w:rsidRPr="00284EF6">
              <w:rPr>
                <w:i/>
                <w:spacing w:val="-4"/>
                <w:sz w:val="24"/>
                <w:szCs w:val="24"/>
                <w:lang w:val="en-US" w:eastAsia="en-US"/>
              </w:rPr>
              <w:t> </w:t>
            </w:r>
            <w:proofErr w:type="spellStart"/>
            <w:r w:rsidR="00D72BFC" w:rsidRPr="00284EF6">
              <w:rPr>
                <w:i/>
                <w:sz w:val="24"/>
                <w:szCs w:val="24"/>
                <w:lang w:val="en-US" w:eastAsia="en-US"/>
              </w:rPr>
              <w:t>подпише</w:t>
            </w:r>
            <w:proofErr w:type="spellEnd"/>
            <w:r w:rsidR="00D72BFC" w:rsidRPr="00284EF6">
              <w:rPr>
                <w:i/>
                <w:sz w:val="24"/>
                <w:szCs w:val="24"/>
                <w:lang w:val="en-US" w:eastAsia="en-US"/>
              </w:rPr>
              <w:t xml:space="preserve"> с КЕП и </w:t>
            </w:r>
            <w:proofErr w:type="spellStart"/>
            <w:r w:rsidR="00D72BFC" w:rsidRPr="00284EF6">
              <w:rPr>
                <w:i/>
                <w:sz w:val="24"/>
                <w:szCs w:val="24"/>
                <w:lang w:val="en-US" w:eastAsia="en-US"/>
              </w:rPr>
              <w:t>приложи</w:t>
            </w:r>
            <w:proofErr w:type="spellEnd"/>
            <w:r w:rsidR="00D72BFC" w:rsidRPr="00284EF6">
              <w:rPr>
                <w:i/>
                <w:sz w:val="24"/>
                <w:szCs w:val="24"/>
                <w:lang w:val="en-US" w:eastAsia="en-US"/>
              </w:rPr>
              <w:t xml:space="preserve"> </w:t>
            </w:r>
            <w:proofErr w:type="spellStart"/>
            <w:r w:rsidR="00D72BFC" w:rsidRPr="00284EF6">
              <w:rPr>
                <w:i/>
                <w:sz w:val="24"/>
                <w:szCs w:val="24"/>
                <w:lang w:val="en-US" w:eastAsia="en-US"/>
              </w:rPr>
              <w:t>документите</w:t>
            </w:r>
            <w:proofErr w:type="spellEnd"/>
            <w:r w:rsidR="00D72BFC" w:rsidRPr="00284EF6">
              <w:rPr>
                <w:i/>
                <w:sz w:val="24"/>
                <w:szCs w:val="24"/>
                <w:lang w:val="en-US" w:eastAsia="en-US"/>
              </w:rPr>
              <w:t xml:space="preserve">, </w:t>
            </w:r>
            <w:proofErr w:type="spellStart"/>
            <w:r w:rsidR="00D72BFC" w:rsidRPr="00284EF6">
              <w:rPr>
                <w:i/>
                <w:sz w:val="24"/>
                <w:szCs w:val="24"/>
                <w:lang w:val="en-US" w:eastAsia="en-US"/>
              </w:rPr>
              <w:t>които</w:t>
            </w:r>
            <w:proofErr w:type="spellEnd"/>
            <w:r w:rsidR="00D72BFC" w:rsidRPr="00284EF6">
              <w:rPr>
                <w:i/>
                <w:sz w:val="24"/>
                <w:szCs w:val="24"/>
                <w:lang w:val="en-US" w:eastAsia="en-US"/>
              </w:rPr>
              <w:t xml:space="preserve"> </w:t>
            </w:r>
            <w:proofErr w:type="spellStart"/>
            <w:r w:rsidR="00D72BFC" w:rsidRPr="00284EF6">
              <w:rPr>
                <w:i/>
                <w:sz w:val="24"/>
                <w:szCs w:val="24"/>
                <w:lang w:val="en-US" w:eastAsia="en-US"/>
              </w:rPr>
              <w:t>са</w:t>
            </w:r>
            <w:proofErr w:type="spellEnd"/>
            <w:r w:rsidR="00D72BFC" w:rsidRPr="00284EF6">
              <w:rPr>
                <w:i/>
                <w:sz w:val="24"/>
                <w:szCs w:val="24"/>
                <w:lang w:val="en-US" w:eastAsia="en-US"/>
              </w:rPr>
              <w:t> </w:t>
            </w:r>
            <w:proofErr w:type="spellStart"/>
            <w:r w:rsidR="00D72BFC" w:rsidRPr="00284EF6">
              <w:rPr>
                <w:i/>
                <w:spacing w:val="-6"/>
                <w:sz w:val="24"/>
                <w:szCs w:val="24"/>
                <w:lang w:val="en-US" w:eastAsia="en-US"/>
              </w:rPr>
              <w:t>неразделна</w:t>
            </w:r>
            <w:proofErr w:type="spellEnd"/>
            <w:r w:rsidR="00D72BFC" w:rsidRPr="00284EF6">
              <w:rPr>
                <w:i/>
                <w:spacing w:val="-6"/>
                <w:sz w:val="24"/>
                <w:szCs w:val="24"/>
                <w:lang w:val="en-US" w:eastAsia="en-US"/>
              </w:rPr>
              <w:t xml:space="preserve"> </w:t>
            </w:r>
            <w:proofErr w:type="spellStart"/>
            <w:r w:rsidR="00D72BFC" w:rsidRPr="00284EF6">
              <w:rPr>
                <w:i/>
                <w:spacing w:val="-6"/>
                <w:sz w:val="24"/>
                <w:szCs w:val="24"/>
                <w:lang w:val="en-US" w:eastAsia="en-US"/>
              </w:rPr>
              <w:t>част</w:t>
            </w:r>
            <w:proofErr w:type="spellEnd"/>
            <w:r w:rsidR="00D72BFC" w:rsidRPr="00284EF6">
              <w:rPr>
                <w:i/>
                <w:spacing w:val="-6"/>
                <w:sz w:val="24"/>
                <w:szCs w:val="24"/>
                <w:lang w:val="en-US" w:eastAsia="en-US"/>
              </w:rPr>
              <w:t xml:space="preserve"> </w:t>
            </w:r>
            <w:proofErr w:type="spellStart"/>
            <w:r w:rsidR="00D72BFC" w:rsidRPr="00284EF6">
              <w:rPr>
                <w:i/>
                <w:spacing w:val="-6"/>
                <w:sz w:val="24"/>
                <w:szCs w:val="24"/>
                <w:lang w:val="en-US" w:eastAsia="en-US"/>
              </w:rPr>
              <w:t>от</w:t>
            </w:r>
            <w:proofErr w:type="spellEnd"/>
            <w:r w:rsidR="00D72BFC" w:rsidRPr="00284EF6">
              <w:rPr>
                <w:i/>
                <w:spacing w:val="-6"/>
                <w:sz w:val="24"/>
                <w:szCs w:val="24"/>
                <w:lang w:val="en-US" w:eastAsia="en-US"/>
              </w:rPr>
              <w:t xml:space="preserve"> </w:t>
            </w:r>
            <w:proofErr w:type="spellStart"/>
            <w:r w:rsidR="00D72BFC" w:rsidRPr="00284EF6">
              <w:rPr>
                <w:i/>
                <w:spacing w:val="-6"/>
                <w:sz w:val="24"/>
                <w:szCs w:val="24"/>
                <w:lang w:val="en-US" w:eastAsia="en-US"/>
              </w:rPr>
              <w:t>формуляра</w:t>
            </w:r>
            <w:proofErr w:type="spellEnd"/>
            <w:r w:rsidR="00D72BFC" w:rsidRPr="00284EF6">
              <w:rPr>
                <w:i/>
                <w:spacing w:val="-6"/>
                <w:sz w:val="24"/>
                <w:szCs w:val="24"/>
                <w:lang w:val="en-US" w:eastAsia="en-US"/>
              </w:rPr>
              <w:t>.</w:t>
            </w:r>
          </w:p>
          <w:p w:rsidR="002E6C92" w:rsidRPr="00284EF6" w:rsidRDefault="002E6C92" w:rsidP="002E6C92">
            <w:pPr>
              <w:shd w:val="clear" w:color="auto" w:fill="FFFFFF"/>
              <w:spacing w:line="242" w:lineRule="atLeast"/>
              <w:rPr>
                <w:i/>
                <w:spacing w:val="-6"/>
                <w:sz w:val="24"/>
                <w:szCs w:val="24"/>
                <w:lang w:eastAsia="en-US"/>
              </w:rPr>
            </w:pPr>
            <w:r w:rsidRPr="00284EF6">
              <w:rPr>
                <w:i/>
                <w:spacing w:val="-6"/>
                <w:sz w:val="24"/>
                <w:szCs w:val="24"/>
                <w:lang w:val="en-US" w:eastAsia="en-US"/>
              </w:rPr>
              <w:t>*</w:t>
            </w:r>
            <w:r w:rsidRPr="00284EF6">
              <w:rPr>
                <w:i/>
                <w:spacing w:val="-6"/>
                <w:sz w:val="24"/>
                <w:szCs w:val="24"/>
                <w:lang w:eastAsia="en-US"/>
              </w:rPr>
              <w:t>Когато кандидатът предвижда в процеса на оценка</w:t>
            </w:r>
            <w:r w:rsidRPr="00284EF6">
              <w:t xml:space="preserve">   </w:t>
            </w:r>
            <w:r w:rsidRPr="00284EF6">
              <w:rPr>
                <w:i/>
                <w:spacing w:val="-6"/>
                <w:sz w:val="24"/>
                <w:szCs w:val="24"/>
                <w:lang w:eastAsia="en-US"/>
              </w:rPr>
              <w:t>при необходимост от допълнителна информация/документи, същите да се представят на КППП от упълномощено лице/</w:t>
            </w:r>
            <w:proofErr w:type="spellStart"/>
            <w:r w:rsidRPr="00284EF6">
              <w:rPr>
                <w:i/>
                <w:spacing w:val="-6"/>
                <w:sz w:val="24"/>
                <w:szCs w:val="24"/>
                <w:lang w:eastAsia="en-US"/>
              </w:rPr>
              <w:t>лице</w:t>
            </w:r>
            <w:proofErr w:type="spellEnd"/>
            <w:r w:rsidRPr="00284EF6">
              <w:rPr>
                <w:i/>
                <w:spacing w:val="-6"/>
                <w:sz w:val="24"/>
                <w:szCs w:val="24"/>
                <w:lang w:eastAsia="en-US"/>
              </w:rPr>
              <w:t>, определено със заповед на кмета, това също следва да се впише в пълномощното.</w:t>
            </w:r>
          </w:p>
          <w:p w:rsidR="004B4596" w:rsidRPr="00284EF6" w:rsidRDefault="00EA74DD" w:rsidP="004B4596">
            <w:pPr>
              <w:shd w:val="clear" w:color="auto" w:fill="FFFFFF"/>
              <w:rPr>
                <w:sz w:val="24"/>
                <w:szCs w:val="24"/>
              </w:rPr>
            </w:pPr>
            <w:r w:rsidRPr="00284EF6">
              <w:rPr>
                <w:sz w:val="24"/>
                <w:szCs w:val="24"/>
              </w:rPr>
              <w:t>4</w:t>
            </w:r>
            <w:r w:rsidR="004B4596" w:rsidRPr="00284EF6">
              <w:rPr>
                <w:sz w:val="24"/>
                <w:szCs w:val="24"/>
              </w:rPr>
              <w:t xml:space="preserve">. </w:t>
            </w:r>
            <w:r w:rsidR="009706E8" w:rsidRPr="00284EF6">
              <w:rPr>
                <w:sz w:val="24"/>
                <w:szCs w:val="24"/>
              </w:rPr>
              <w:t>У</w:t>
            </w:r>
            <w:r w:rsidR="004B4596" w:rsidRPr="00284EF6">
              <w:rPr>
                <w:sz w:val="24"/>
                <w:szCs w:val="24"/>
              </w:rPr>
              <w:t>чредителен акт или устав, или дружествен договор (не се изисква за кандидати общини</w:t>
            </w:r>
            <w:r w:rsidR="0085498D" w:rsidRPr="00284EF6">
              <w:rPr>
                <w:sz w:val="24"/>
                <w:szCs w:val="24"/>
              </w:rPr>
              <w:t xml:space="preserve"> или за кандидати, за които документът е проверим в ТРРЮЛНЦ</w:t>
            </w:r>
            <w:r w:rsidR="004B4596" w:rsidRPr="00284EF6">
              <w:rPr>
                <w:sz w:val="24"/>
                <w:szCs w:val="24"/>
              </w:rPr>
              <w:t>)</w:t>
            </w:r>
          </w:p>
          <w:p w:rsidR="004556E5" w:rsidRPr="00284EF6" w:rsidRDefault="00EA74DD" w:rsidP="00773031">
            <w:pPr>
              <w:shd w:val="clear" w:color="auto" w:fill="FEFEFE"/>
              <w:spacing w:line="240" w:lineRule="auto"/>
              <w:rPr>
                <w:sz w:val="24"/>
                <w:szCs w:val="24"/>
              </w:rPr>
            </w:pPr>
            <w:r w:rsidRPr="00284EF6">
              <w:rPr>
                <w:sz w:val="24"/>
                <w:szCs w:val="24"/>
              </w:rPr>
              <w:t>5</w:t>
            </w:r>
            <w:r w:rsidR="004B4596" w:rsidRPr="00284EF6">
              <w:rPr>
                <w:sz w:val="24"/>
                <w:szCs w:val="24"/>
              </w:rPr>
              <w:t xml:space="preserve">. </w:t>
            </w:r>
            <w:r w:rsidR="007D387E" w:rsidRPr="00284EF6">
              <w:rPr>
                <w:sz w:val="24"/>
                <w:szCs w:val="24"/>
              </w:rPr>
              <w:t xml:space="preserve">Декларация </w:t>
            </w:r>
            <w:r w:rsidR="00BE2087" w:rsidRPr="00284EF6">
              <w:rPr>
                <w:sz w:val="24"/>
                <w:szCs w:val="24"/>
              </w:rPr>
              <w:t xml:space="preserve"> за липса на основания за отстраняване</w:t>
            </w:r>
            <w:r w:rsidR="007D387E" w:rsidRPr="00284EF6">
              <w:rPr>
                <w:sz w:val="24"/>
                <w:szCs w:val="24"/>
              </w:rPr>
              <w:t>, Приложение №1</w:t>
            </w:r>
            <w:r w:rsidR="007D387E" w:rsidRPr="00284EF6">
              <w:t xml:space="preserve"> </w:t>
            </w:r>
            <w:r w:rsidR="007D387E" w:rsidRPr="00284EF6">
              <w:rPr>
                <w:sz w:val="24"/>
                <w:szCs w:val="24"/>
              </w:rPr>
              <w:t>към Условията за кандидатстване</w:t>
            </w:r>
          </w:p>
          <w:p w:rsidR="00B93191" w:rsidRPr="00284EF6" w:rsidRDefault="00EA74DD" w:rsidP="00773031">
            <w:pPr>
              <w:shd w:val="clear" w:color="auto" w:fill="FEFEFE"/>
              <w:spacing w:line="240" w:lineRule="auto"/>
              <w:rPr>
                <w:sz w:val="24"/>
                <w:szCs w:val="24"/>
              </w:rPr>
            </w:pPr>
            <w:r w:rsidRPr="00284EF6">
              <w:rPr>
                <w:sz w:val="24"/>
                <w:szCs w:val="24"/>
              </w:rPr>
              <w:t>6</w:t>
            </w:r>
            <w:r w:rsidR="00B93191" w:rsidRPr="00284EF6">
              <w:rPr>
                <w:sz w:val="24"/>
                <w:szCs w:val="24"/>
              </w:rPr>
              <w:t xml:space="preserve">. </w:t>
            </w:r>
            <w:r w:rsidR="00F653A0" w:rsidRPr="00F653A0">
              <w:rPr>
                <w:sz w:val="24"/>
                <w:szCs w:val="24"/>
              </w:rPr>
              <w:t xml:space="preserve">Декларация за свързаност съгласно Заповед № РД 09-647/03.07.2019 г. на РУО на </w:t>
            </w:r>
            <w:r w:rsidR="00F653A0" w:rsidRPr="00F653A0">
              <w:rPr>
                <w:sz w:val="24"/>
                <w:szCs w:val="24"/>
              </w:rPr>
              <w:lastRenderedPageBreak/>
              <w:t xml:space="preserve">ПРСР </w:t>
            </w:r>
            <w:r w:rsidR="00B93191" w:rsidRPr="00284EF6">
              <w:rPr>
                <w:sz w:val="24"/>
                <w:szCs w:val="24"/>
              </w:rPr>
              <w:t xml:space="preserve">от кандидати, </w:t>
            </w:r>
            <w:r w:rsidR="00EB4535" w:rsidRPr="00284EF6">
              <w:rPr>
                <w:sz w:val="24"/>
                <w:szCs w:val="24"/>
              </w:rPr>
              <w:t xml:space="preserve">които не са </w:t>
            </w:r>
            <w:proofErr w:type="spellStart"/>
            <w:r w:rsidR="00EB4535" w:rsidRPr="00284EF6">
              <w:rPr>
                <w:sz w:val="24"/>
                <w:szCs w:val="24"/>
              </w:rPr>
              <w:t>публичноправни</w:t>
            </w:r>
            <w:proofErr w:type="spellEnd"/>
            <w:r w:rsidR="00EB4535" w:rsidRPr="00284EF6">
              <w:rPr>
                <w:sz w:val="24"/>
                <w:szCs w:val="24"/>
              </w:rPr>
              <w:t xml:space="preserve"> организации по смисъла на §2, т.43 от допълнителните разпоредби на Закона за обществените поръчки</w:t>
            </w:r>
            <w:r w:rsidR="00B93191" w:rsidRPr="00284EF6">
              <w:rPr>
                <w:sz w:val="24"/>
                <w:szCs w:val="24"/>
              </w:rPr>
              <w:t>,</w:t>
            </w:r>
            <w:r w:rsidR="00B93191" w:rsidRPr="00284EF6">
              <w:t xml:space="preserve"> </w:t>
            </w:r>
            <w:r w:rsidR="00B93191" w:rsidRPr="00284EF6">
              <w:rPr>
                <w:sz w:val="24"/>
                <w:szCs w:val="24"/>
              </w:rPr>
              <w:t>Приложение №2 към Условията за кандидатстване</w:t>
            </w:r>
          </w:p>
          <w:p w:rsidR="004E7686" w:rsidRPr="00284EF6" w:rsidRDefault="00EA74DD" w:rsidP="00773031">
            <w:pPr>
              <w:shd w:val="clear" w:color="auto" w:fill="FEFEFE"/>
              <w:spacing w:line="240" w:lineRule="auto"/>
              <w:rPr>
                <w:rFonts w:ascii="Verdana" w:hAnsi="Verdana"/>
                <w:sz w:val="22"/>
                <w:szCs w:val="22"/>
              </w:rPr>
            </w:pPr>
            <w:r w:rsidRPr="00284EF6">
              <w:rPr>
                <w:sz w:val="24"/>
                <w:szCs w:val="24"/>
              </w:rPr>
              <w:t>7</w:t>
            </w:r>
            <w:r w:rsidR="004E7686" w:rsidRPr="00284EF6">
              <w:rPr>
                <w:sz w:val="24"/>
                <w:szCs w:val="24"/>
              </w:rPr>
              <w:t xml:space="preserve">. </w:t>
            </w:r>
            <w:r w:rsidR="00361644" w:rsidRPr="00284EF6">
              <w:rPr>
                <w:sz w:val="24"/>
                <w:szCs w:val="24"/>
              </w:rPr>
              <w:t>Декларация за липса на изкуствено създадени условия</w:t>
            </w:r>
            <w:r w:rsidR="00361644" w:rsidRPr="00DE6BFC">
              <w:rPr>
                <w:sz w:val="24"/>
                <w:szCs w:val="24"/>
              </w:rPr>
              <w:t>, Приложение №</w:t>
            </w:r>
            <w:r w:rsidR="001D2442" w:rsidRPr="00DE6BFC">
              <w:rPr>
                <w:sz w:val="24"/>
                <w:szCs w:val="24"/>
              </w:rPr>
              <w:t>3</w:t>
            </w:r>
            <w:r w:rsidR="00361644" w:rsidRPr="00DE6BFC">
              <w:rPr>
                <w:sz w:val="24"/>
                <w:szCs w:val="24"/>
              </w:rPr>
              <w:t xml:space="preserve"> към Усл</w:t>
            </w:r>
            <w:r w:rsidR="00361644" w:rsidRPr="00284EF6">
              <w:rPr>
                <w:sz w:val="24"/>
                <w:szCs w:val="24"/>
              </w:rPr>
              <w:t>овията за кандидатстване</w:t>
            </w:r>
          </w:p>
          <w:p w:rsidR="004B4596" w:rsidRPr="00284EF6" w:rsidRDefault="00EA74DD" w:rsidP="004B4596">
            <w:pPr>
              <w:shd w:val="clear" w:color="auto" w:fill="FFFFFF"/>
              <w:rPr>
                <w:sz w:val="24"/>
                <w:szCs w:val="24"/>
              </w:rPr>
            </w:pPr>
            <w:r w:rsidRPr="00284EF6">
              <w:rPr>
                <w:sz w:val="24"/>
                <w:szCs w:val="24"/>
              </w:rPr>
              <w:t>8</w:t>
            </w:r>
            <w:r w:rsidR="004B4596" w:rsidRPr="00284EF6">
              <w:rPr>
                <w:sz w:val="24"/>
                <w:szCs w:val="24"/>
              </w:rPr>
              <w:t>. Свидетелство за съдимост от представ</w:t>
            </w:r>
            <w:r w:rsidR="000B7339" w:rsidRPr="00284EF6">
              <w:rPr>
                <w:sz w:val="24"/>
                <w:szCs w:val="24"/>
              </w:rPr>
              <w:t>ляващия/те кандидата</w:t>
            </w:r>
            <w:r w:rsidR="008F10E9" w:rsidRPr="00284EF6">
              <w:rPr>
                <w:sz w:val="24"/>
                <w:szCs w:val="24"/>
              </w:rPr>
              <w:t xml:space="preserve"> и от всички лица с правомощия за вземане на решение или контрол по отношение на кандидата </w:t>
            </w:r>
            <w:r w:rsidR="004B4596" w:rsidRPr="00284EF6">
              <w:rPr>
                <w:sz w:val="24"/>
                <w:szCs w:val="24"/>
              </w:rPr>
              <w:t xml:space="preserve"> /</w:t>
            </w:r>
            <w:r w:rsidR="004B4596" w:rsidRPr="00284EF6">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063A60" w:rsidRDefault="00EA74DD" w:rsidP="005A389A">
            <w:pPr>
              <w:shd w:val="clear" w:color="auto" w:fill="FFFFFF"/>
              <w:rPr>
                <w:sz w:val="24"/>
                <w:szCs w:val="24"/>
              </w:rPr>
            </w:pPr>
            <w:r w:rsidRPr="00284EF6">
              <w:rPr>
                <w:sz w:val="24"/>
                <w:szCs w:val="24"/>
              </w:rPr>
              <w:t>9</w:t>
            </w:r>
            <w:r w:rsidR="004B4596" w:rsidRPr="00284EF6">
              <w:rPr>
                <w:sz w:val="24"/>
                <w:szCs w:val="24"/>
              </w:rPr>
              <w:t>.</w:t>
            </w:r>
            <w:r w:rsidR="004B4596" w:rsidRPr="00284EF6">
              <w:rPr>
                <w:sz w:val="24"/>
                <w:szCs w:val="24"/>
                <w:lang w:val="en-US"/>
              </w:rPr>
              <w:t xml:space="preserve"> </w:t>
            </w:r>
            <w:r w:rsidR="004B4596" w:rsidRPr="00284EF6">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284EF6">
              <w:rPr>
                <w:sz w:val="24"/>
                <w:szCs w:val="24"/>
              </w:rPr>
              <w:t>Басейнова</w:t>
            </w:r>
            <w:proofErr w:type="spellEnd"/>
            <w:r w:rsidR="004B4596" w:rsidRPr="00284EF6">
              <w:rPr>
                <w:sz w:val="24"/>
                <w:szCs w:val="24"/>
              </w:rPr>
              <w:t xml:space="preserve"> дирекция), издадени по реда на Закона за опазване на околната среда, Закона за биологичното разнообразие и/или Закона</w:t>
            </w:r>
            <w:r w:rsidR="00F66512" w:rsidRPr="00284EF6">
              <w:rPr>
                <w:sz w:val="24"/>
                <w:szCs w:val="24"/>
              </w:rPr>
              <w:t xml:space="preserve"> за водите (когато е приложимо)</w:t>
            </w:r>
          </w:p>
          <w:p w:rsidR="005A389A" w:rsidRPr="00284EF6" w:rsidRDefault="005A389A" w:rsidP="005A389A">
            <w:pPr>
              <w:shd w:val="clear" w:color="auto" w:fill="FFFFFF"/>
              <w:rPr>
                <w:sz w:val="24"/>
                <w:szCs w:val="24"/>
              </w:rPr>
            </w:pPr>
            <w:r w:rsidRPr="00284EF6">
              <w:rPr>
                <w:sz w:val="24"/>
                <w:szCs w:val="24"/>
              </w:rPr>
              <w:t>1</w:t>
            </w:r>
            <w:r w:rsidR="00EA74DD" w:rsidRPr="00284EF6">
              <w:rPr>
                <w:sz w:val="24"/>
                <w:szCs w:val="24"/>
              </w:rPr>
              <w:t>0</w:t>
            </w:r>
            <w:r w:rsidRPr="00284EF6">
              <w:rPr>
                <w:sz w:val="24"/>
                <w:szCs w:val="24"/>
              </w:rPr>
              <w:t xml:space="preserve">. Становище от съответната </w:t>
            </w:r>
            <w:proofErr w:type="spellStart"/>
            <w:r w:rsidRPr="00284EF6">
              <w:rPr>
                <w:sz w:val="24"/>
                <w:szCs w:val="24"/>
              </w:rPr>
              <w:t>басейнова</w:t>
            </w:r>
            <w:proofErr w:type="spellEnd"/>
            <w:r w:rsidRPr="00284EF6">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Pr="00284EF6">
              <w:rPr>
                <w:sz w:val="24"/>
                <w:szCs w:val="24"/>
              </w:rPr>
              <w:t>водовземане</w:t>
            </w:r>
            <w:proofErr w:type="spellEnd"/>
            <w:r w:rsidRPr="00284EF6">
              <w:rPr>
                <w:sz w:val="24"/>
                <w:szCs w:val="24"/>
              </w:rPr>
              <w:t>, водосн</w:t>
            </w:r>
            <w:r w:rsidR="00F66512" w:rsidRPr="00284EF6">
              <w:rPr>
                <w:sz w:val="24"/>
                <w:szCs w:val="24"/>
              </w:rPr>
              <w:t>абдяване (когато е приложимо)</w:t>
            </w:r>
          </w:p>
          <w:p w:rsidR="005A389A" w:rsidRPr="00284EF6" w:rsidRDefault="005A389A" w:rsidP="005A389A">
            <w:pPr>
              <w:shd w:val="clear" w:color="auto" w:fill="FFFFFF"/>
              <w:rPr>
                <w:sz w:val="24"/>
                <w:szCs w:val="24"/>
              </w:rPr>
            </w:pPr>
            <w:r w:rsidRPr="00284EF6">
              <w:rPr>
                <w:sz w:val="24"/>
                <w:szCs w:val="24"/>
              </w:rPr>
              <w:t>1</w:t>
            </w:r>
            <w:r w:rsidR="00EA74DD" w:rsidRPr="00284EF6">
              <w:rPr>
                <w:sz w:val="24"/>
                <w:szCs w:val="24"/>
              </w:rPr>
              <w:t>1</w:t>
            </w:r>
            <w:r w:rsidRPr="00284EF6">
              <w:rPr>
                <w:sz w:val="24"/>
                <w:szCs w:val="24"/>
              </w:rPr>
              <w:t>.</w:t>
            </w:r>
            <w:r w:rsidR="00FD6038" w:rsidRPr="00284EF6">
              <w:rPr>
                <w:sz w:val="24"/>
                <w:szCs w:val="24"/>
              </w:rPr>
              <w:t xml:space="preserve"> </w:t>
            </w:r>
            <w:r w:rsidRPr="00284EF6">
              <w:rPr>
                <w:sz w:val="24"/>
                <w:szCs w:val="24"/>
              </w:rPr>
              <w:t xml:space="preserve">Разрешително за </w:t>
            </w:r>
            <w:proofErr w:type="spellStart"/>
            <w:r w:rsidRPr="00284EF6">
              <w:rPr>
                <w:sz w:val="24"/>
                <w:szCs w:val="24"/>
              </w:rPr>
              <w:t>водовземане</w:t>
            </w:r>
            <w:proofErr w:type="spellEnd"/>
            <w:r w:rsidRPr="00284EF6">
              <w:rPr>
                <w:sz w:val="24"/>
                <w:szCs w:val="24"/>
              </w:rPr>
              <w:t xml:space="preserve"> и/или разрешително за ползване на воден обект, в случаите, предвидени в Закона за водите</w:t>
            </w:r>
            <w:r w:rsidR="006F05C0" w:rsidRPr="00284EF6">
              <w:rPr>
                <w:sz w:val="24"/>
                <w:szCs w:val="24"/>
              </w:rPr>
              <w:t xml:space="preserve"> </w:t>
            </w:r>
            <w:r w:rsidRPr="00284EF6">
              <w:rPr>
                <w:sz w:val="24"/>
                <w:szCs w:val="24"/>
              </w:rPr>
              <w:t>(когато е приложимо)</w:t>
            </w:r>
            <w:r w:rsidR="00FD6038" w:rsidRPr="00284EF6">
              <w:t xml:space="preserve"> </w:t>
            </w:r>
          </w:p>
          <w:p w:rsidR="004B4596" w:rsidRPr="00284EF6" w:rsidRDefault="005A389A" w:rsidP="004B4596">
            <w:pPr>
              <w:shd w:val="clear" w:color="auto" w:fill="FFFFFF"/>
              <w:rPr>
                <w:sz w:val="24"/>
                <w:szCs w:val="24"/>
              </w:rPr>
            </w:pPr>
            <w:r w:rsidRPr="00284EF6">
              <w:rPr>
                <w:sz w:val="24"/>
                <w:szCs w:val="24"/>
              </w:rPr>
              <w:t>1</w:t>
            </w:r>
            <w:r w:rsidR="00EA74DD" w:rsidRPr="00284EF6">
              <w:rPr>
                <w:sz w:val="24"/>
                <w:szCs w:val="24"/>
              </w:rPr>
              <w:t>2</w:t>
            </w:r>
            <w:r w:rsidR="004B4596" w:rsidRPr="00284EF6">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sidRPr="00284EF6">
              <w:rPr>
                <w:sz w:val="24"/>
                <w:szCs w:val="24"/>
              </w:rPr>
              <w:t xml:space="preserve"> </w:t>
            </w:r>
            <w:r w:rsidR="00F66512" w:rsidRPr="00284EF6">
              <w:rPr>
                <w:sz w:val="24"/>
                <w:szCs w:val="24"/>
              </w:rPr>
              <w:t>(когато е приложимо)</w:t>
            </w:r>
          </w:p>
          <w:p w:rsidR="004B4596" w:rsidRPr="00284EF6" w:rsidRDefault="004B4596" w:rsidP="004B4596">
            <w:pPr>
              <w:shd w:val="clear" w:color="auto" w:fill="FFFFFF"/>
              <w:rPr>
                <w:sz w:val="24"/>
                <w:szCs w:val="24"/>
              </w:rPr>
            </w:pPr>
            <w:r w:rsidRPr="00284EF6">
              <w:rPr>
                <w:sz w:val="24"/>
                <w:szCs w:val="24"/>
              </w:rPr>
              <w:t>1</w:t>
            </w:r>
            <w:r w:rsidR="00EA74DD" w:rsidRPr="00284EF6">
              <w:rPr>
                <w:sz w:val="24"/>
                <w:szCs w:val="24"/>
              </w:rPr>
              <w:t>3</w:t>
            </w:r>
            <w:r w:rsidRPr="00284EF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sidRPr="00284EF6">
              <w:rPr>
                <w:sz w:val="24"/>
                <w:szCs w:val="24"/>
              </w:rPr>
              <w:t xml:space="preserve"> </w:t>
            </w:r>
            <w:r w:rsidR="00F66512" w:rsidRPr="00284EF6">
              <w:rPr>
                <w:sz w:val="24"/>
                <w:szCs w:val="24"/>
              </w:rPr>
              <w:t>(когато е приложимо)</w:t>
            </w:r>
          </w:p>
          <w:p w:rsidR="0058646F" w:rsidRPr="00284EF6" w:rsidRDefault="00D01BD2" w:rsidP="004B4596">
            <w:pPr>
              <w:shd w:val="clear" w:color="auto" w:fill="FFFFFF"/>
              <w:rPr>
                <w:sz w:val="24"/>
                <w:szCs w:val="24"/>
              </w:rPr>
            </w:pPr>
            <w:r w:rsidRPr="00284EF6">
              <w:rPr>
                <w:sz w:val="24"/>
                <w:szCs w:val="24"/>
              </w:rPr>
              <w:t>1</w:t>
            </w:r>
            <w:r w:rsidR="00EA74DD" w:rsidRPr="00284EF6">
              <w:rPr>
                <w:sz w:val="24"/>
                <w:szCs w:val="24"/>
              </w:rPr>
              <w:t>4</w:t>
            </w:r>
            <w:r w:rsidR="004B4596" w:rsidRPr="00284EF6">
              <w:rPr>
                <w:sz w:val="24"/>
                <w:szCs w:val="24"/>
              </w:rPr>
              <w:t xml:space="preserve">. </w:t>
            </w:r>
            <w:r w:rsidR="00B0076B" w:rsidRPr="00284EF6">
              <w:rPr>
                <w:sz w:val="24"/>
                <w:szCs w:val="24"/>
              </w:rPr>
              <w:t xml:space="preserve">Анализ разходи-ползи (финансов анализ) </w:t>
            </w:r>
            <w:r w:rsidR="0058646F" w:rsidRPr="00284EF6">
              <w:rPr>
                <w:sz w:val="24"/>
                <w:szCs w:val="24"/>
              </w:rPr>
              <w:t>с подпис/и, печат на всяка страница и сканиран във формат „</w:t>
            </w:r>
            <w:proofErr w:type="spellStart"/>
            <w:r w:rsidR="0058646F" w:rsidRPr="00284EF6">
              <w:rPr>
                <w:sz w:val="24"/>
                <w:szCs w:val="24"/>
              </w:rPr>
              <w:t>pdf</w:t>
            </w:r>
            <w:proofErr w:type="spellEnd"/>
            <w:r w:rsidR="0058646F" w:rsidRPr="00284EF6">
              <w:rPr>
                <w:sz w:val="24"/>
                <w:szCs w:val="24"/>
              </w:rPr>
              <w:t>“ и таблиците от Анализа във формат  „</w:t>
            </w:r>
            <w:proofErr w:type="spellStart"/>
            <w:r w:rsidR="0058646F" w:rsidRPr="00284EF6">
              <w:rPr>
                <w:sz w:val="24"/>
                <w:szCs w:val="24"/>
              </w:rPr>
              <w:t>xls</w:t>
            </w:r>
            <w:proofErr w:type="spellEnd"/>
            <w:r w:rsidR="0058646F" w:rsidRPr="00284EF6">
              <w:rPr>
                <w:sz w:val="24"/>
                <w:szCs w:val="24"/>
              </w:rPr>
              <w:t>”/„</w:t>
            </w:r>
            <w:proofErr w:type="spellStart"/>
            <w:r w:rsidR="0058646F" w:rsidRPr="00284EF6">
              <w:rPr>
                <w:sz w:val="24"/>
                <w:szCs w:val="24"/>
              </w:rPr>
              <w:t>xlsx</w:t>
            </w:r>
            <w:proofErr w:type="spellEnd"/>
            <w:r w:rsidR="0058646F" w:rsidRPr="00284EF6">
              <w:rPr>
                <w:sz w:val="24"/>
                <w:szCs w:val="24"/>
              </w:rPr>
              <w:t xml:space="preserve"> – по образец, утвърден от изпълнителния директор на ДФЗ, наличен на интернет сайта на ДФЗ (</w:t>
            </w:r>
            <w:hyperlink r:id="rId11" w:history="1">
              <w:r w:rsidR="0058646F" w:rsidRPr="00284EF6">
                <w:rPr>
                  <w:sz w:val="24"/>
                  <w:szCs w:val="24"/>
                  <w:u w:val="single"/>
                  <w:lang w:val="en-US"/>
                </w:rPr>
                <w:t>http://dfz.bg/bg/prsr-2014-2020/merki-podpomagane</w:t>
              </w:r>
            </w:hyperlink>
            <w:r w:rsidR="007243D8" w:rsidRPr="00284EF6">
              <w:rPr>
                <w:sz w:val="24"/>
                <w:szCs w:val="24"/>
                <w:u w:val="single"/>
                <w:lang w:val="en-US"/>
              </w:rPr>
              <w:t>-ISUN</w:t>
            </w:r>
            <w:r w:rsidR="0058646F" w:rsidRPr="00284EF6">
              <w:rPr>
                <w:sz w:val="24"/>
                <w:szCs w:val="24"/>
              </w:rPr>
              <w:t xml:space="preserve">), в раздел </w:t>
            </w:r>
            <w:proofErr w:type="spellStart"/>
            <w:r w:rsidR="0058646F" w:rsidRPr="00284EF6">
              <w:rPr>
                <w:sz w:val="24"/>
                <w:szCs w:val="24"/>
              </w:rPr>
              <w:t>Подмярка</w:t>
            </w:r>
            <w:proofErr w:type="spellEnd"/>
            <w:r w:rsidR="0058646F" w:rsidRPr="00284EF6">
              <w:rPr>
                <w:sz w:val="24"/>
                <w:szCs w:val="24"/>
              </w:rPr>
              <w:t xml:space="preserve"> 19.2</w:t>
            </w:r>
          </w:p>
          <w:p w:rsidR="004B4596" w:rsidRPr="00284EF6" w:rsidRDefault="00673355" w:rsidP="004B4596">
            <w:pPr>
              <w:shd w:val="clear" w:color="auto" w:fill="FFFFFF"/>
              <w:rPr>
                <w:sz w:val="24"/>
                <w:szCs w:val="24"/>
              </w:rPr>
            </w:pPr>
            <w:r w:rsidRPr="00284EF6">
              <w:rPr>
                <w:sz w:val="24"/>
                <w:szCs w:val="24"/>
              </w:rPr>
              <w:t>15</w:t>
            </w:r>
            <w:r w:rsidR="004B4596" w:rsidRPr="00284EF6">
              <w:rPr>
                <w:sz w:val="24"/>
                <w:szCs w:val="24"/>
              </w:rPr>
              <w:t xml:space="preserve">. Инвентарна книга към датата на подаване на проектно предложение към </w:t>
            </w:r>
            <w:r w:rsidR="004B4596" w:rsidRPr="00284EF6">
              <w:rPr>
                <w:sz w:val="24"/>
                <w:szCs w:val="24"/>
              </w:rPr>
              <w:lastRenderedPageBreak/>
              <w:t>стратегията за ВОМР</w:t>
            </w:r>
            <w:r w:rsidR="00063A60">
              <w:rPr>
                <w:sz w:val="24"/>
                <w:szCs w:val="24"/>
              </w:rPr>
              <w:t>,</w:t>
            </w:r>
            <w:r w:rsidR="004B4596" w:rsidRPr="00284EF6">
              <w:rPr>
                <w:sz w:val="24"/>
                <w:szCs w:val="24"/>
              </w:rPr>
              <w:t xml:space="preserve"> с разбивка по вид на актива, дата и цена на придобиване - в случай на разходи, които представляват дълготрайни материални активи съ</w:t>
            </w:r>
            <w:r w:rsidR="00F66512" w:rsidRPr="00284EF6">
              <w:rPr>
                <w:sz w:val="24"/>
                <w:szCs w:val="24"/>
              </w:rPr>
              <w:t>гласно Закона за счетоводството</w:t>
            </w:r>
          </w:p>
          <w:p w:rsidR="00B050EF" w:rsidRPr="00284EF6" w:rsidRDefault="004B4596" w:rsidP="004B4596">
            <w:pPr>
              <w:shd w:val="clear" w:color="auto" w:fill="FFFFFF"/>
              <w:rPr>
                <w:sz w:val="24"/>
                <w:szCs w:val="24"/>
                <w:shd w:val="clear" w:color="auto" w:fill="FFFFFF"/>
              </w:rPr>
            </w:pPr>
            <w:r w:rsidRPr="00284EF6">
              <w:rPr>
                <w:sz w:val="24"/>
                <w:szCs w:val="24"/>
              </w:rPr>
              <w:t>1</w:t>
            </w:r>
            <w:r w:rsidR="00EA74DD" w:rsidRPr="00284EF6">
              <w:rPr>
                <w:sz w:val="24"/>
                <w:szCs w:val="24"/>
              </w:rPr>
              <w:t>6</w:t>
            </w:r>
            <w:r w:rsidRPr="00284EF6">
              <w:rPr>
                <w:sz w:val="24"/>
                <w:szCs w:val="24"/>
              </w:rPr>
              <w:t xml:space="preserve">. </w:t>
            </w:r>
            <w:r w:rsidR="00B050EF" w:rsidRPr="00284EF6">
              <w:rPr>
                <w:sz w:val="24"/>
                <w:szCs w:val="24"/>
                <w:shd w:val="clear" w:color="auto" w:fill="FFFFFF"/>
              </w:rPr>
              <w:t>Решение на компетентния орган на юридическото лице за кандидатстване по реда на настоящите условия</w:t>
            </w:r>
          </w:p>
          <w:p w:rsidR="00366D0D" w:rsidRPr="00284EF6" w:rsidRDefault="00E278A3" w:rsidP="004B4596">
            <w:pPr>
              <w:shd w:val="clear" w:color="auto" w:fill="FFFFFF"/>
              <w:rPr>
                <w:sz w:val="24"/>
                <w:szCs w:val="24"/>
              </w:rPr>
            </w:pPr>
            <w:r w:rsidRPr="00284EF6">
              <w:rPr>
                <w:sz w:val="24"/>
                <w:szCs w:val="24"/>
                <w:shd w:val="clear" w:color="auto" w:fill="FFFFFF"/>
              </w:rPr>
              <w:t xml:space="preserve"> </w:t>
            </w:r>
            <w:r w:rsidR="004B4596" w:rsidRPr="00284EF6">
              <w:rPr>
                <w:sz w:val="24"/>
                <w:szCs w:val="24"/>
              </w:rPr>
              <w:t>1</w:t>
            </w:r>
            <w:r w:rsidR="00EA74DD" w:rsidRPr="00284EF6">
              <w:rPr>
                <w:sz w:val="24"/>
                <w:szCs w:val="24"/>
              </w:rPr>
              <w:t>7</w:t>
            </w:r>
            <w:r w:rsidR="004B4596" w:rsidRPr="00284EF6">
              <w:rPr>
                <w:sz w:val="24"/>
                <w:szCs w:val="24"/>
              </w:rPr>
              <w:t>. Решение на общински съвет, че дейностите по проекта отговарят на приоритетите на общинския план за</w:t>
            </w:r>
            <w:r w:rsidR="002C0322" w:rsidRPr="00284EF6">
              <w:rPr>
                <w:sz w:val="24"/>
                <w:szCs w:val="24"/>
              </w:rPr>
              <w:t xml:space="preserve"> развитие</w:t>
            </w:r>
            <w:r w:rsidR="004B4596" w:rsidRPr="00284EF6">
              <w:rPr>
                <w:sz w:val="24"/>
                <w:szCs w:val="24"/>
              </w:rPr>
              <w:t>, в случай на проект с кандидат за подпомагане община</w:t>
            </w:r>
            <w:r w:rsidR="00120C2C" w:rsidRPr="00284EF6">
              <w:rPr>
                <w:sz w:val="24"/>
                <w:szCs w:val="24"/>
              </w:rPr>
              <w:t xml:space="preserve"> Марица</w:t>
            </w:r>
          </w:p>
          <w:p w:rsidR="004B4596" w:rsidRPr="00284EF6" w:rsidRDefault="004B4596" w:rsidP="004B4596">
            <w:pPr>
              <w:shd w:val="clear" w:color="auto" w:fill="FFFFFF"/>
              <w:rPr>
                <w:sz w:val="24"/>
                <w:szCs w:val="24"/>
              </w:rPr>
            </w:pPr>
            <w:r w:rsidRPr="00284EF6">
              <w:rPr>
                <w:sz w:val="24"/>
                <w:szCs w:val="24"/>
              </w:rPr>
              <w:t>1</w:t>
            </w:r>
            <w:r w:rsidR="00EA74DD" w:rsidRPr="00284EF6">
              <w:rPr>
                <w:sz w:val="24"/>
                <w:szCs w:val="24"/>
              </w:rPr>
              <w:t>8</w:t>
            </w:r>
            <w:r w:rsidRPr="00284EF6">
              <w:rPr>
                <w:sz w:val="24"/>
                <w:szCs w:val="24"/>
              </w:rPr>
              <w:t xml:space="preserve">. Справка за дълготрайните активи - приложение към счетоводния баланс за предходната финансова година и/или за последния отчетен период </w:t>
            </w:r>
          </w:p>
          <w:p w:rsidR="004B4596" w:rsidRPr="00DE6BFC" w:rsidRDefault="00F13F3B" w:rsidP="004B4596">
            <w:pPr>
              <w:shd w:val="clear" w:color="auto" w:fill="FFFFFF"/>
              <w:rPr>
                <w:sz w:val="24"/>
                <w:szCs w:val="24"/>
              </w:rPr>
            </w:pPr>
            <w:r w:rsidRPr="00284EF6">
              <w:rPr>
                <w:sz w:val="24"/>
                <w:szCs w:val="24"/>
                <w:lang w:val="en-GB"/>
              </w:rPr>
              <w:t>19</w:t>
            </w:r>
            <w:r w:rsidR="004B4596" w:rsidRPr="00284EF6">
              <w:rPr>
                <w:sz w:val="24"/>
                <w:szCs w:val="24"/>
              </w:rPr>
              <w:t xml:space="preserve">. </w:t>
            </w:r>
            <w:r w:rsidR="00C23FBE" w:rsidRPr="00284EF6">
              <w:rPr>
                <w:sz w:val="24"/>
                <w:szCs w:val="24"/>
              </w:rPr>
              <w:t>Фактури, придружени с платежни нареждания за извършени разходи преди подаване на проектното предложение – важи в случаите на разходи, свързани с проекта,</w:t>
            </w:r>
            <w:r w:rsidR="00C23FBE">
              <w:rPr>
                <w:sz w:val="24"/>
                <w:szCs w:val="24"/>
              </w:rPr>
              <w:t xml:space="preserve"> например </w:t>
            </w:r>
            <w:r w:rsidR="00C23FBE" w:rsidRPr="00C23FBE">
              <w:rPr>
                <w:sz w:val="24"/>
                <w:szCs w:val="24"/>
              </w:rPr>
              <w:t xml:space="preserve">за разходи за </w:t>
            </w:r>
            <w:proofErr w:type="spellStart"/>
            <w:r w:rsidR="00C23FBE" w:rsidRPr="00C23FBE">
              <w:rPr>
                <w:sz w:val="24"/>
                <w:szCs w:val="24"/>
              </w:rPr>
              <w:t>предпроектни</w:t>
            </w:r>
            <w:proofErr w:type="spellEnd"/>
            <w:r w:rsidR="00C23FBE" w:rsidRPr="00C23FBE">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w:t>
            </w:r>
            <w:r w:rsidR="002352DA">
              <w:rPr>
                <w:sz w:val="24"/>
                <w:szCs w:val="24"/>
              </w:rPr>
              <w:t xml:space="preserve"> </w:t>
            </w:r>
            <w:r w:rsidR="005D0D8B" w:rsidRPr="00DE6BFC">
              <w:rPr>
                <w:sz w:val="24"/>
                <w:szCs w:val="24"/>
              </w:rPr>
              <w:t>(когато е приложимо)</w:t>
            </w:r>
          </w:p>
          <w:p w:rsidR="00952967" w:rsidRPr="00DA7E30" w:rsidRDefault="00F13F3B" w:rsidP="00C23FBE">
            <w:pPr>
              <w:shd w:val="clear" w:color="auto" w:fill="FFFFFF"/>
              <w:rPr>
                <w:color w:val="000000" w:themeColor="text1"/>
                <w:sz w:val="24"/>
                <w:szCs w:val="24"/>
              </w:rPr>
            </w:pPr>
            <w:r w:rsidRPr="00DA7E30">
              <w:rPr>
                <w:color w:val="000000" w:themeColor="text1"/>
                <w:sz w:val="24"/>
                <w:szCs w:val="24"/>
              </w:rPr>
              <w:t>2</w:t>
            </w:r>
            <w:r w:rsidRPr="00DA7E30">
              <w:rPr>
                <w:color w:val="000000" w:themeColor="text1"/>
                <w:sz w:val="24"/>
                <w:szCs w:val="24"/>
                <w:lang w:val="en-GB"/>
              </w:rPr>
              <w:t>0</w:t>
            </w:r>
            <w:r w:rsidR="004B4596" w:rsidRPr="00DA7E30">
              <w:rPr>
                <w:color w:val="000000" w:themeColor="text1"/>
                <w:sz w:val="24"/>
                <w:szCs w:val="24"/>
              </w:rPr>
              <w:t xml:space="preserve">. </w:t>
            </w:r>
            <w:r w:rsidRPr="00DA7E30">
              <w:rPr>
                <w:color w:val="000000" w:themeColor="text1"/>
                <w:sz w:val="24"/>
                <w:szCs w:val="24"/>
              </w:rPr>
              <w:t>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w:t>
            </w:r>
          </w:p>
          <w:p w:rsidR="00C23FBE" w:rsidRPr="00DA7E30" w:rsidRDefault="00C23FBE" w:rsidP="00C23FBE">
            <w:pPr>
              <w:shd w:val="clear" w:color="auto" w:fill="FFFFFF"/>
              <w:rPr>
                <w:color w:val="000000" w:themeColor="text1"/>
                <w:sz w:val="24"/>
                <w:szCs w:val="24"/>
              </w:rPr>
            </w:pPr>
            <w:r w:rsidRPr="00DA7E30">
              <w:rPr>
                <w:color w:val="000000" w:themeColor="text1"/>
                <w:sz w:val="24"/>
                <w:szCs w:val="24"/>
              </w:rPr>
              <w:t xml:space="preserve">Кандидатът представя една независима оферта от производител/доставчик, която съдържа наименованието на </w:t>
            </w:r>
            <w:proofErr w:type="spellStart"/>
            <w:r w:rsidRPr="00DA7E30">
              <w:rPr>
                <w:color w:val="000000" w:themeColor="text1"/>
                <w:sz w:val="24"/>
                <w:szCs w:val="24"/>
              </w:rPr>
              <w:t>оферента</w:t>
            </w:r>
            <w:proofErr w:type="spellEnd"/>
            <w:r w:rsidRPr="00DA7E30">
              <w:rPr>
                <w:color w:val="000000" w:themeColor="text1"/>
                <w:sz w:val="24"/>
                <w:szCs w:val="24"/>
              </w:rPr>
              <w:t xml:space="preserve">, срока на валидност на офертата, датата на издаване на офертата, подпис и печат на </w:t>
            </w:r>
            <w:proofErr w:type="spellStart"/>
            <w:r w:rsidRPr="00DA7E30">
              <w:rPr>
                <w:color w:val="000000" w:themeColor="text1"/>
                <w:sz w:val="24"/>
                <w:szCs w:val="24"/>
              </w:rPr>
              <w:t>оферента</w:t>
            </w:r>
            <w:proofErr w:type="spellEnd"/>
            <w:r w:rsidRPr="00DA7E30">
              <w:rPr>
                <w:color w:val="000000" w:themeColor="text1"/>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списъка с референтни разходи,  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p>
          <w:p w:rsidR="00952967" w:rsidRPr="00DA7E30" w:rsidRDefault="00C23FBE" w:rsidP="00C23FBE">
            <w:pPr>
              <w:shd w:val="clear" w:color="auto" w:fill="FFFFFF"/>
              <w:rPr>
                <w:color w:val="000000" w:themeColor="text1"/>
                <w:sz w:val="24"/>
                <w:szCs w:val="24"/>
              </w:rPr>
            </w:pPr>
            <w:r w:rsidRPr="00DA7E30">
              <w:rPr>
                <w:color w:val="000000" w:themeColor="text1"/>
                <w:sz w:val="24"/>
                <w:szCs w:val="24"/>
              </w:rPr>
              <w:t>2</w:t>
            </w:r>
            <w:r w:rsidR="00F13F3B" w:rsidRPr="00DA7E30">
              <w:rPr>
                <w:color w:val="000000" w:themeColor="text1"/>
                <w:sz w:val="24"/>
                <w:szCs w:val="24"/>
                <w:lang w:val="en-GB"/>
              </w:rPr>
              <w:t>1</w:t>
            </w:r>
            <w:r w:rsidRPr="00DA7E30">
              <w:rPr>
                <w:color w:val="000000" w:themeColor="text1"/>
                <w:sz w:val="24"/>
                <w:szCs w:val="24"/>
              </w:rPr>
              <w:t>. Най-малко три съпоставими независими оферти</w:t>
            </w:r>
          </w:p>
          <w:p w:rsidR="00E16EBD" w:rsidRPr="00DA7E30" w:rsidRDefault="00C23FBE" w:rsidP="00875BEF">
            <w:pPr>
              <w:shd w:val="clear" w:color="auto" w:fill="FFFFFF"/>
              <w:spacing w:after="240"/>
              <w:rPr>
                <w:color w:val="000000" w:themeColor="text1"/>
                <w:sz w:val="24"/>
                <w:szCs w:val="24"/>
              </w:rPr>
            </w:pPr>
            <w:r w:rsidRPr="00DA7E30">
              <w:rPr>
                <w:color w:val="000000" w:themeColor="text1"/>
                <w:sz w:val="24"/>
                <w:szCs w:val="24"/>
              </w:rPr>
              <w:t xml:space="preserve">Кандидатът представя най-малко три съпоставими независими оферти, които съдържат наименование на </w:t>
            </w:r>
            <w:proofErr w:type="spellStart"/>
            <w:r w:rsidRPr="00DA7E30">
              <w:rPr>
                <w:color w:val="000000" w:themeColor="text1"/>
                <w:sz w:val="24"/>
                <w:szCs w:val="24"/>
              </w:rPr>
              <w:t>оферента</w:t>
            </w:r>
            <w:proofErr w:type="spellEnd"/>
            <w:r w:rsidRPr="00DA7E30">
              <w:rPr>
                <w:color w:val="000000" w:themeColor="text1"/>
                <w:sz w:val="24"/>
                <w:szCs w:val="24"/>
              </w:rPr>
              <w:t xml:space="preserve">, срока на валидност на офертата, датата на издаване на офертата, подпис и печат на </w:t>
            </w:r>
            <w:proofErr w:type="spellStart"/>
            <w:r w:rsidRPr="00DA7E30">
              <w:rPr>
                <w:color w:val="000000" w:themeColor="text1"/>
                <w:sz w:val="24"/>
                <w:szCs w:val="24"/>
              </w:rPr>
              <w:t>оферента</w:t>
            </w:r>
            <w:proofErr w:type="spellEnd"/>
            <w:r w:rsidRPr="00DA7E30">
              <w:rPr>
                <w:color w:val="000000" w:themeColor="text1"/>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списъка с референтни разходи на ДФ „Земеделие“, ведно с отправени от кандидата запитвания з</w:t>
            </w:r>
            <w:r w:rsidR="00E16EBD" w:rsidRPr="00DA7E30">
              <w:rPr>
                <w:color w:val="000000" w:themeColor="text1"/>
                <w:sz w:val="24"/>
                <w:szCs w:val="24"/>
              </w:rPr>
              <w:t xml:space="preserve">а оферти съгласно Приложение № </w:t>
            </w:r>
            <w:r w:rsidRPr="00DA7E30">
              <w:rPr>
                <w:color w:val="000000" w:themeColor="text1"/>
                <w:sz w:val="24"/>
                <w:szCs w:val="24"/>
              </w:rPr>
              <w:t xml:space="preserve">7 към Условията за кандидатстване.  </w:t>
            </w:r>
          </w:p>
          <w:p w:rsidR="00A254A7" w:rsidRPr="00DE6BFC" w:rsidRDefault="007C0BE6" w:rsidP="00A254A7">
            <w:pPr>
              <w:widowControl w:val="0"/>
              <w:spacing w:after="200"/>
              <w:rPr>
                <w:rFonts w:eastAsia="Calibri"/>
                <w:i/>
                <w:sz w:val="22"/>
                <w:szCs w:val="22"/>
                <w:lang w:eastAsia="en-US"/>
              </w:rPr>
            </w:pPr>
            <w:r>
              <w:rPr>
                <w:rFonts w:eastAsia="Calibri"/>
                <w:i/>
                <w:sz w:val="22"/>
                <w:szCs w:val="22"/>
                <w:lang w:eastAsia="en-US"/>
              </w:rPr>
              <w:t>По т.20 и т.21, в</w:t>
            </w:r>
            <w:r w:rsidR="00A254A7" w:rsidRPr="00DE6BFC">
              <w:rPr>
                <w:rFonts w:eastAsia="Calibri"/>
                <w:i/>
                <w:sz w:val="22"/>
                <w:szCs w:val="22"/>
                <w:lang w:eastAsia="en-US"/>
              </w:rPr>
              <w:t xml:space="preserve"> случаите, когато </w:t>
            </w:r>
            <w:proofErr w:type="spellStart"/>
            <w:r w:rsidR="00A254A7" w:rsidRPr="00DE6BFC">
              <w:rPr>
                <w:rFonts w:eastAsia="Calibri"/>
                <w:i/>
                <w:sz w:val="22"/>
                <w:szCs w:val="22"/>
                <w:lang w:eastAsia="en-US"/>
              </w:rPr>
              <w:t>оферентите</w:t>
            </w:r>
            <w:proofErr w:type="spellEnd"/>
            <w:r w:rsidR="00A254A7" w:rsidRPr="00DE6BFC">
              <w:rPr>
                <w:rFonts w:eastAsia="Calibri"/>
                <w:i/>
                <w:sz w:val="22"/>
                <w:szCs w:val="22"/>
                <w:lang w:eastAsia="en-US"/>
              </w:rPr>
              <w:t xml:space="preserve"> са местни лица, трябва да са вписани в </w:t>
            </w:r>
            <w:r w:rsidR="00E15402" w:rsidRPr="00DE6BFC">
              <w:rPr>
                <w:rFonts w:eastAsia="Calibri"/>
                <w:i/>
                <w:sz w:val="22"/>
                <w:szCs w:val="22"/>
                <w:lang w:eastAsia="en-US"/>
              </w:rPr>
              <w:t>ТРРЮЛНЦ</w:t>
            </w:r>
            <w:r w:rsidR="00A254A7" w:rsidRPr="00DE6BFC">
              <w:rPr>
                <w:rFonts w:eastAsia="Calibri"/>
                <w:i/>
                <w:sz w:val="22"/>
                <w:szCs w:val="22"/>
                <w:lang w:eastAsia="en-US"/>
              </w:rPr>
              <w:t xml:space="preserve">, а </w:t>
            </w:r>
            <w:proofErr w:type="spellStart"/>
            <w:r w:rsidR="00A254A7" w:rsidRPr="00DE6BFC">
              <w:rPr>
                <w:rFonts w:eastAsia="Calibri"/>
                <w:i/>
                <w:sz w:val="22"/>
                <w:szCs w:val="22"/>
                <w:lang w:eastAsia="en-US"/>
              </w:rPr>
              <w:t>оферентите</w:t>
            </w:r>
            <w:proofErr w:type="spellEnd"/>
            <w:r w:rsidR="00A254A7" w:rsidRPr="00DE6BFC">
              <w:rPr>
                <w:rFonts w:eastAsia="Calibri"/>
                <w:i/>
                <w:sz w:val="22"/>
                <w:szCs w:val="22"/>
                <w:lang w:eastAsia="en-US"/>
              </w:rPr>
              <w:t xml:space="preserve"> – чуждестранни лица, следва да представят документ за </w:t>
            </w:r>
            <w:proofErr w:type="spellStart"/>
            <w:r w:rsidR="00A254A7" w:rsidRPr="00DE6BFC">
              <w:rPr>
                <w:rFonts w:eastAsia="Calibri"/>
                <w:i/>
                <w:sz w:val="22"/>
                <w:szCs w:val="22"/>
                <w:lang w:eastAsia="en-US"/>
              </w:rPr>
              <w:t>правосубектност</w:t>
            </w:r>
            <w:proofErr w:type="spellEnd"/>
            <w:r w:rsidR="00A254A7" w:rsidRPr="00DE6BFC">
              <w:rPr>
                <w:rFonts w:eastAsia="Calibri"/>
                <w:i/>
                <w:sz w:val="22"/>
                <w:szCs w:val="22"/>
                <w:lang w:eastAsia="en-US"/>
              </w:rPr>
              <w:t xml:space="preserve"> съгласно националното им законодателство. </w:t>
            </w:r>
            <w:proofErr w:type="spellStart"/>
            <w:r w:rsidR="00A254A7" w:rsidRPr="00DE6BFC">
              <w:rPr>
                <w:rFonts w:eastAsia="Calibri"/>
                <w:i/>
                <w:sz w:val="22"/>
                <w:szCs w:val="22"/>
                <w:lang w:eastAsia="en-US"/>
              </w:rPr>
              <w:t>Оферентите</w:t>
            </w:r>
            <w:proofErr w:type="spellEnd"/>
            <w:r w:rsidR="00A254A7" w:rsidRPr="00DE6BFC">
              <w:rPr>
                <w:rFonts w:eastAsia="Calibri"/>
                <w:i/>
                <w:sz w:val="22"/>
                <w:szCs w:val="22"/>
                <w:lang w:eastAsia="en-US"/>
              </w:rPr>
              <w:t xml:space="preserve"> на строително-монтажни работи, местни и чуждестранни лица, трябва да бъдат вписани в Централен </w:t>
            </w:r>
            <w:r w:rsidR="00A254A7" w:rsidRPr="00DE6BFC">
              <w:rPr>
                <w:rFonts w:eastAsia="Calibri"/>
                <w:i/>
                <w:sz w:val="22"/>
                <w:szCs w:val="22"/>
                <w:lang w:eastAsia="en-US"/>
              </w:rPr>
              <w:lastRenderedPageBreak/>
              <w:t xml:space="preserve">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EA74DD" w:rsidRPr="00284EF6" w:rsidRDefault="005A389A" w:rsidP="005D0D8B">
            <w:pPr>
              <w:widowControl w:val="0"/>
              <w:rPr>
                <w:sz w:val="24"/>
                <w:szCs w:val="24"/>
              </w:rPr>
            </w:pPr>
            <w:r w:rsidRPr="00284EF6">
              <w:rPr>
                <w:rFonts w:eastAsia="Calibri"/>
                <w:sz w:val="24"/>
                <w:szCs w:val="24"/>
                <w:lang w:eastAsia="en-US"/>
              </w:rPr>
              <w:t>2</w:t>
            </w:r>
            <w:r w:rsidR="00B93191" w:rsidRPr="00284EF6">
              <w:rPr>
                <w:rFonts w:eastAsia="Calibri"/>
                <w:sz w:val="24"/>
                <w:szCs w:val="24"/>
                <w:lang w:eastAsia="en-US"/>
              </w:rPr>
              <w:t>2</w:t>
            </w:r>
            <w:r w:rsidR="005D0D8B" w:rsidRPr="00284EF6">
              <w:rPr>
                <w:rFonts w:eastAsia="Calibri"/>
                <w:sz w:val="24"/>
                <w:szCs w:val="24"/>
                <w:lang w:eastAsia="en-US"/>
              </w:rPr>
              <w:t>.</w:t>
            </w:r>
            <w:r w:rsidR="005D0D8B" w:rsidRPr="00284EF6">
              <w:rPr>
                <w:rFonts w:eastAsia="Calibri"/>
                <w:i/>
                <w:sz w:val="22"/>
                <w:szCs w:val="22"/>
                <w:lang w:eastAsia="en-US"/>
              </w:rPr>
              <w:t xml:space="preserve"> </w:t>
            </w:r>
            <w:r w:rsidR="00EA74DD" w:rsidRPr="00284EF6">
              <w:rPr>
                <w:sz w:val="24"/>
                <w:szCs w:val="24"/>
              </w:rPr>
              <w:t xml:space="preserve">Документ за </w:t>
            </w:r>
            <w:proofErr w:type="spellStart"/>
            <w:r w:rsidR="00EA74DD" w:rsidRPr="00284EF6">
              <w:rPr>
                <w:sz w:val="24"/>
                <w:szCs w:val="24"/>
              </w:rPr>
              <w:t>правосубектност</w:t>
            </w:r>
            <w:proofErr w:type="spellEnd"/>
            <w:r w:rsidR="00EA74DD" w:rsidRPr="00284EF6">
              <w:rPr>
                <w:sz w:val="24"/>
                <w:szCs w:val="24"/>
              </w:rPr>
              <w:t xml:space="preserve"> съгласно националното им законодателство (В случаите, когато </w:t>
            </w:r>
            <w:proofErr w:type="spellStart"/>
            <w:r w:rsidR="00EA74DD" w:rsidRPr="00284EF6">
              <w:rPr>
                <w:sz w:val="24"/>
                <w:szCs w:val="24"/>
              </w:rPr>
              <w:t>оферентите</w:t>
            </w:r>
            <w:proofErr w:type="spellEnd"/>
            <w:r w:rsidR="00EA74DD" w:rsidRPr="00284EF6">
              <w:rPr>
                <w:sz w:val="24"/>
                <w:szCs w:val="24"/>
              </w:rPr>
              <w:t xml:space="preserve"> са чуждестранни лица)</w:t>
            </w:r>
          </w:p>
          <w:p w:rsidR="005E3F31" w:rsidRPr="00284EF6" w:rsidRDefault="00F67573" w:rsidP="005E3F31">
            <w:pPr>
              <w:shd w:val="clear" w:color="auto" w:fill="FFFFFF"/>
              <w:spacing w:line="240" w:lineRule="auto"/>
              <w:rPr>
                <w:rFonts w:eastAsia="Calibri"/>
                <w:sz w:val="22"/>
                <w:szCs w:val="22"/>
                <w:lang w:eastAsia="en-US"/>
              </w:rPr>
            </w:pPr>
            <w:r w:rsidRPr="00284EF6">
              <w:rPr>
                <w:sz w:val="24"/>
                <w:szCs w:val="24"/>
              </w:rPr>
              <w:t>2</w:t>
            </w:r>
            <w:r w:rsidR="00B93191" w:rsidRPr="00284EF6">
              <w:rPr>
                <w:sz w:val="24"/>
                <w:szCs w:val="24"/>
              </w:rPr>
              <w:t>3</w:t>
            </w:r>
            <w:r w:rsidRPr="00284EF6">
              <w:rPr>
                <w:sz w:val="24"/>
                <w:szCs w:val="24"/>
              </w:rPr>
              <w:t xml:space="preserve">. </w:t>
            </w:r>
            <w:r w:rsidR="005E3F31" w:rsidRPr="00284EF6">
              <w:rPr>
                <w:sz w:val="24"/>
                <w:szCs w:val="24"/>
              </w:rPr>
              <w:t>Р</w:t>
            </w:r>
            <w:r w:rsidR="003D72EF" w:rsidRPr="00284EF6">
              <w:rPr>
                <w:sz w:val="24"/>
                <w:szCs w:val="24"/>
              </w:rPr>
              <w:t>ешение за определяне на стойността на</w:t>
            </w:r>
            <w:r w:rsidR="00686767" w:rsidRPr="00284EF6">
              <w:rPr>
                <w:sz w:val="24"/>
                <w:szCs w:val="24"/>
              </w:rPr>
              <w:t xml:space="preserve"> разхода, за който кандидатства</w:t>
            </w:r>
            <w:r w:rsidR="003D72EF" w:rsidRPr="00284EF6">
              <w:rPr>
                <w:sz w:val="24"/>
                <w:szCs w:val="24"/>
              </w:rPr>
              <w:t>, с включена обосновка за мотивите, обусловили избора му</w:t>
            </w:r>
            <w:r w:rsidR="00EA74DD" w:rsidRPr="00284EF6">
              <w:rPr>
                <w:sz w:val="24"/>
                <w:szCs w:val="24"/>
              </w:rPr>
              <w:t xml:space="preserve"> и/или решение </w:t>
            </w:r>
            <w:r w:rsidR="00635B56" w:rsidRPr="00284EF6">
              <w:rPr>
                <w:sz w:val="24"/>
                <w:szCs w:val="24"/>
              </w:rPr>
              <w:t>на канди</w:t>
            </w:r>
            <w:r w:rsidR="00C4772B">
              <w:rPr>
                <w:sz w:val="24"/>
                <w:szCs w:val="24"/>
              </w:rPr>
              <w:t>д</w:t>
            </w:r>
            <w:r w:rsidR="00635B56" w:rsidRPr="00284EF6">
              <w:rPr>
                <w:sz w:val="24"/>
                <w:szCs w:val="24"/>
              </w:rPr>
              <w:t xml:space="preserve">ата </w:t>
            </w:r>
            <w:r w:rsidR="00EA74DD" w:rsidRPr="00284EF6">
              <w:rPr>
                <w:sz w:val="24"/>
                <w:szCs w:val="24"/>
              </w:rPr>
              <w:t>за избор на доставчик/изпълнител</w:t>
            </w:r>
            <w:r w:rsidR="003D72EF" w:rsidRPr="00284EF6">
              <w:rPr>
                <w:sz w:val="24"/>
                <w:szCs w:val="24"/>
              </w:rPr>
              <w:t>.</w:t>
            </w:r>
            <w:r w:rsidR="005E3F31" w:rsidRPr="00284EF6">
              <w:rPr>
                <w:rFonts w:eastAsia="Calibri"/>
                <w:sz w:val="22"/>
                <w:szCs w:val="22"/>
                <w:lang w:eastAsia="en-US"/>
              </w:rPr>
              <w:t xml:space="preserve"> </w:t>
            </w:r>
          </w:p>
          <w:p w:rsidR="005E3F31" w:rsidRPr="00284EF6" w:rsidRDefault="005E3F31" w:rsidP="005E3F31">
            <w:pPr>
              <w:shd w:val="clear" w:color="auto" w:fill="FFFFFF"/>
              <w:spacing w:line="240" w:lineRule="auto"/>
              <w:rPr>
                <w:rFonts w:eastAsia="Calibri"/>
                <w:i/>
                <w:sz w:val="22"/>
                <w:szCs w:val="22"/>
                <w:u w:val="single"/>
                <w:lang w:eastAsia="en-US"/>
              </w:rPr>
            </w:pPr>
            <w:r w:rsidRPr="00284EF6">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284EF6">
              <w:rPr>
                <w:rFonts w:eastAsia="Calibri"/>
                <w:i/>
                <w:sz w:val="22"/>
                <w:szCs w:val="22"/>
                <w:lang w:val="en-US" w:eastAsia="en-US"/>
              </w:rPr>
              <w:t>(</w:t>
            </w:r>
            <w:r w:rsidRPr="00284EF6">
              <w:rPr>
                <w:rFonts w:eastAsia="Calibri"/>
                <w:i/>
                <w:sz w:val="22"/>
                <w:szCs w:val="22"/>
                <w:lang w:eastAsia="en-US"/>
              </w:rPr>
              <w:t>предварителен/окончателен</w:t>
            </w:r>
            <w:r w:rsidRPr="00284EF6">
              <w:rPr>
                <w:rFonts w:eastAsia="Calibri"/>
                <w:i/>
                <w:sz w:val="22"/>
                <w:szCs w:val="22"/>
                <w:lang w:val="en-US" w:eastAsia="en-US"/>
              </w:rPr>
              <w:t>)</w:t>
            </w:r>
            <w:r w:rsidRPr="00284EF6">
              <w:rPr>
                <w:rFonts w:eastAsia="Calibri"/>
                <w:i/>
                <w:sz w:val="22"/>
                <w:szCs w:val="22"/>
                <w:lang w:eastAsia="en-US"/>
              </w:rPr>
              <w:t xml:space="preserve"> с избрания доставчик. </w:t>
            </w:r>
            <w:r w:rsidRPr="00284EF6">
              <w:rPr>
                <w:rFonts w:eastAsia="Calibri"/>
                <w:i/>
                <w:sz w:val="22"/>
                <w:szCs w:val="22"/>
                <w:u w:val="single"/>
                <w:lang w:eastAsia="en-US"/>
              </w:rPr>
              <w:t>Изборът на изпълнител се протоколира с решение.</w:t>
            </w:r>
            <w:r w:rsidRPr="00284EF6">
              <w:rPr>
                <w:rFonts w:eastAsia="Calibri"/>
                <w:i/>
                <w:sz w:val="22"/>
                <w:szCs w:val="22"/>
                <w:lang w:eastAsia="en-US"/>
              </w:rPr>
              <w:t xml:space="preserve"> </w:t>
            </w:r>
            <w:r w:rsidRPr="00284EF6">
              <w:rPr>
                <w:rFonts w:eastAsia="Calibri"/>
                <w:i/>
                <w:sz w:val="22"/>
                <w:szCs w:val="22"/>
                <w:u w:val="single"/>
                <w:lang w:eastAsia="en-US"/>
              </w:rPr>
              <w:t>В този случай кандидатът може да избере икономически най-изгодна оферта</w:t>
            </w:r>
            <w:r w:rsidR="00F66512" w:rsidRPr="00284EF6">
              <w:rPr>
                <w:rFonts w:eastAsia="Calibri"/>
                <w:i/>
                <w:sz w:val="22"/>
                <w:szCs w:val="22"/>
                <w:u w:val="single"/>
                <w:lang w:eastAsia="en-US"/>
              </w:rPr>
              <w:t>.</w:t>
            </w:r>
            <w:r w:rsidRPr="00284EF6">
              <w:rPr>
                <w:rFonts w:eastAsia="Calibri"/>
                <w:i/>
                <w:sz w:val="22"/>
                <w:szCs w:val="22"/>
                <w:u w:val="single"/>
                <w:lang w:eastAsia="en-US"/>
              </w:rPr>
              <w:t xml:space="preserve"> /</w:t>
            </w:r>
          </w:p>
          <w:p w:rsidR="00EA74DD" w:rsidRPr="008C7E89" w:rsidRDefault="00EA74DD" w:rsidP="00EA74DD">
            <w:pPr>
              <w:shd w:val="clear" w:color="auto" w:fill="FFFFFF"/>
              <w:spacing w:before="240" w:after="60" w:line="240" w:lineRule="auto"/>
              <w:rPr>
                <w:sz w:val="24"/>
                <w:szCs w:val="24"/>
                <w:lang w:val="en-GB"/>
              </w:rPr>
            </w:pPr>
            <w:r w:rsidRPr="00284EF6">
              <w:rPr>
                <w:sz w:val="24"/>
                <w:szCs w:val="24"/>
              </w:rPr>
              <w:t>24. Предварителни или окончателни договори за услуги и доставки – обект на инвестицията</w:t>
            </w:r>
            <w:r w:rsidRPr="00EA74DD">
              <w:rPr>
                <w:sz w:val="24"/>
                <w:szCs w:val="24"/>
              </w:rPr>
              <w:t xml:space="preserve"> </w:t>
            </w:r>
            <w:r w:rsidR="00C10833">
              <w:rPr>
                <w:sz w:val="24"/>
                <w:szCs w:val="24"/>
                <w:lang w:val="en-GB"/>
              </w:rPr>
              <w:t>(</w:t>
            </w:r>
            <w:r w:rsidR="00C10833">
              <w:rPr>
                <w:sz w:val="24"/>
                <w:szCs w:val="24"/>
              </w:rPr>
              <w:t>когато е приложимо</w:t>
            </w:r>
            <w:r w:rsidR="00C10833">
              <w:rPr>
                <w:sz w:val="24"/>
                <w:szCs w:val="24"/>
                <w:lang w:val="en-GB"/>
              </w:rPr>
              <w:t>)</w:t>
            </w:r>
          </w:p>
          <w:p w:rsidR="00EA74DD" w:rsidRPr="00EA74DD" w:rsidRDefault="00EA74DD" w:rsidP="00EA74DD">
            <w:pPr>
              <w:shd w:val="clear" w:color="auto" w:fill="FFFFFF"/>
              <w:spacing w:after="60" w:line="240" w:lineRule="auto"/>
              <w:rPr>
                <w:i/>
                <w:sz w:val="24"/>
                <w:szCs w:val="24"/>
              </w:rPr>
            </w:pPr>
            <w:r w:rsidRPr="00EA74DD">
              <w:rPr>
                <w:i/>
                <w:sz w:val="24"/>
                <w:szCs w:val="24"/>
              </w:rPr>
              <w:t xml:space="preserve">В договорите следва да са посочени марка, модел, цена в левове или евро с посочен ДДС и срок за изпълнение (когато е приложимо). </w:t>
            </w:r>
          </w:p>
          <w:p w:rsidR="00EA74DD" w:rsidRPr="00EA74DD" w:rsidRDefault="00EA74DD" w:rsidP="00EA74DD">
            <w:pPr>
              <w:tabs>
                <w:tab w:val="left" w:pos="4830"/>
              </w:tabs>
              <w:rPr>
                <w:i/>
                <w:sz w:val="24"/>
                <w:szCs w:val="24"/>
              </w:rPr>
            </w:pPr>
            <w:r w:rsidRPr="00EA74DD">
              <w:rPr>
                <w:i/>
                <w:sz w:val="24"/>
                <w:szCs w:val="24"/>
              </w:rPr>
              <w:t>В случаите на инвестиции за строително-монтажни работи към договорите се прилагат и количествено-стойностни сметки, които се представят във формат „</w:t>
            </w:r>
            <w:proofErr w:type="spellStart"/>
            <w:r w:rsidRPr="00EA74DD">
              <w:rPr>
                <w:i/>
                <w:sz w:val="24"/>
                <w:szCs w:val="24"/>
              </w:rPr>
              <w:t>pdf</w:t>
            </w:r>
            <w:proofErr w:type="spellEnd"/>
            <w:r w:rsidRPr="00EA74DD">
              <w:rPr>
                <w:i/>
                <w:sz w:val="24"/>
                <w:szCs w:val="24"/>
              </w:rPr>
              <w:t>“ и „</w:t>
            </w:r>
            <w:proofErr w:type="spellStart"/>
            <w:r w:rsidRPr="00EA74DD">
              <w:rPr>
                <w:i/>
                <w:sz w:val="24"/>
                <w:szCs w:val="24"/>
                <w:lang w:val="en-US"/>
              </w:rPr>
              <w:t>xls</w:t>
            </w:r>
            <w:proofErr w:type="spellEnd"/>
            <w:r w:rsidRPr="00EA74DD">
              <w:rPr>
                <w:i/>
                <w:sz w:val="24"/>
                <w:szCs w:val="24"/>
              </w:rPr>
              <w:t>”/“</w:t>
            </w:r>
            <w:proofErr w:type="spellStart"/>
            <w:r w:rsidRPr="00EA74DD">
              <w:rPr>
                <w:i/>
                <w:sz w:val="24"/>
                <w:szCs w:val="24"/>
                <w:lang w:val="en-US"/>
              </w:rPr>
              <w:t>xls</w:t>
            </w:r>
            <w:proofErr w:type="spellEnd"/>
            <w:r w:rsidRPr="00EA74DD">
              <w:rPr>
                <w:i/>
                <w:sz w:val="24"/>
                <w:szCs w:val="24"/>
              </w:rPr>
              <w:t xml:space="preserve">х”. </w:t>
            </w:r>
          </w:p>
          <w:p w:rsidR="004B4596" w:rsidRPr="00284EF6" w:rsidRDefault="00EA74DD" w:rsidP="004B4596">
            <w:pPr>
              <w:shd w:val="clear" w:color="auto" w:fill="FFFFFF"/>
              <w:rPr>
                <w:sz w:val="24"/>
                <w:szCs w:val="24"/>
              </w:rPr>
            </w:pPr>
            <w:r>
              <w:rPr>
                <w:sz w:val="24"/>
                <w:szCs w:val="24"/>
              </w:rPr>
              <w:t>25</w:t>
            </w:r>
            <w:r w:rsidR="004B4596" w:rsidRPr="00284EF6">
              <w:rPr>
                <w:sz w:val="24"/>
                <w:szCs w:val="24"/>
              </w:rPr>
              <w:t xml:space="preserve">. </w:t>
            </w:r>
            <w:r w:rsidR="00395F2F" w:rsidRPr="00284EF6">
              <w:rPr>
                <w:sz w:val="24"/>
                <w:szCs w:val="24"/>
              </w:rPr>
              <w:t xml:space="preserve">Документация за възложена обществена поръчка за изпълнение на дейности по проекта </w:t>
            </w:r>
            <w:r w:rsidR="004B4596" w:rsidRPr="00284EF6">
              <w:rPr>
                <w:sz w:val="24"/>
                <w:szCs w:val="24"/>
              </w:rPr>
              <w:t xml:space="preserve"> в случаите, когат</w:t>
            </w:r>
            <w:r w:rsidR="00CE6E04" w:rsidRPr="00284EF6">
              <w:rPr>
                <w:sz w:val="24"/>
                <w:szCs w:val="24"/>
              </w:rPr>
              <w:t xml:space="preserve">о проекта включва разходи по </w:t>
            </w:r>
            <w:r w:rsidR="004B4596" w:rsidRPr="00284EF6">
              <w:rPr>
                <w:sz w:val="24"/>
                <w:szCs w:val="24"/>
              </w:rPr>
              <w:t xml:space="preserve">точка </w:t>
            </w:r>
            <w:r w:rsidR="00CE6E04" w:rsidRPr="00284EF6">
              <w:rPr>
                <w:sz w:val="24"/>
                <w:szCs w:val="24"/>
              </w:rPr>
              <w:t>4</w:t>
            </w:r>
            <w:r w:rsidR="004B4596" w:rsidRPr="00284EF6">
              <w:rPr>
                <w:sz w:val="24"/>
                <w:szCs w:val="24"/>
              </w:rPr>
              <w:t xml:space="preserve"> от Раздел 14 </w:t>
            </w:r>
            <w:r w:rsidR="00CE6E04" w:rsidRPr="00284EF6">
              <w:rPr>
                <w:sz w:val="24"/>
                <w:szCs w:val="24"/>
              </w:rPr>
              <w:t>-</w:t>
            </w:r>
            <w:r w:rsidR="006A6AD9" w:rsidRPr="00284EF6">
              <w:rPr>
                <w:sz w:val="24"/>
                <w:szCs w:val="24"/>
              </w:rPr>
              <w:t xml:space="preserve"> </w:t>
            </w:r>
            <w:r w:rsidR="00CE6E04" w:rsidRPr="00284EF6">
              <w:rPr>
                <w:sz w:val="24"/>
                <w:szCs w:val="24"/>
              </w:rPr>
              <w:t>д</w:t>
            </w:r>
            <w:r w:rsidR="004B4596" w:rsidRPr="00284EF6">
              <w:rPr>
                <w:sz w:val="24"/>
                <w:szCs w:val="24"/>
              </w:rPr>
              <w:t xml:space="preserve">опустими разходи, извършени преди подаване на проектното предложение </w:t>
            </w:r>
            <w:r w:rsidR="004B4596" w:rsidRPr="00284EF6">
              <w:rPr>
                <w:sz w:val="24"/>
                <w:szCs w:val="24"/>
                <w:lang w:val="en-US"/>
              </w:rPr>
              <w:t>(</w:t>
            </w:r>
            <w:r w:rsidR="00F66512" w:rsidRPr="00284EF6">
              <w:rPr>
                <w:sz w:val="24"/>
                <w:szCs w:val="24"/>
              </w:rPr>
              <w:t>когато е приложимо)</w:t>
            </w:r>
          </w:p>
          <w:p w:rsidR="00AF3988" w:rsidRPr="00DE6BFC" w:rsidRDefault="004B4596" w:rsidP="004B4596">
            <w:pPr>
              <w:shd w:val="clear" w:color="auto" w:fill="FFFFFF"/>
              <w:rPr>
                <w:sz w:val="24"/>
                <w:szCs w:val="24"/>
              </w:rPr>
            </w:pPr>
            <w:r w:rsidRPr="00284EF6">
              <w:rPr>
                <w:sz w:val="24"/>
                <w:szCs w:val="24"/>
              </w:rPr>
              <w:t>2</w:t>
            </w:r>
            <w:r w:rsidR="00EA74DD" w:rsidRPr="00284EF6">
              <w:rPr>
                <w:sz w:val="24"/>
                <w:szCs w:val="24"/>
              </w:rPr>
              <w:t>6</w:t>
            </w:r>
            <w:r w:rsidRPr="00284EF6">
              <w:rPr>
                <w:sz w:val="24"/>
                <w:szCs w:val="24"/>
              </w:rPr>
              <w:t xml:space="preserve">. </w:t>
            </w:r>
            <w:r w:rsidR="006B1739" w:rsidRPr="00284EF6">
              <w:rPr>
                <w:sz w:val="24"/>
                <w:szCs w:val="24"/>
              </w:rPr>
              <w:t>Декларация за неикономически дейности</w:t>
            </w:r>
            <w:r w:rsidR="006B1739">
              <w:rPr>
                <w:sz w:val="24"/>
                <w:szCs w:val="24"/>
              </w:rPr>
              <w:t xml:space="preserve"> – </w:t>
            </w:r>
            <w:r w:rsidR="008C7E89">
              <w:rPr>
                <w:sz w:val="24"/>
                <w:szCs w:val="24"/>
              </w:rPr>
              <w:t>в</w:t>
            </w:r>
            <w:r w:rsidR="006B1739">
              <w:rPr>
                <w:sz w:val="24"/>
                <w:szCs w:val="24"/>
              </w:rPr>
              <w:t xml:space="preserve"> </w:t>
            </w:r>
            <w:r w:rsidR="00C10833">
              <w:rPr>
                <w:sz w:val="24"/>
                <w:szCs w:val="24"/>
              </w:rPr>
              <w:t>д</w:t>
            </w:r>
            <w:r w:rsidR="00C10833" w:rsidRPr="00DE6BFC">
              <w:rPr>
                <w:sz w:val="24"/>
                <w:szCs w:val="24"/>
              </w:rPr>
              <w:t xml:space="preserve">екларацията </w:t>
            </w:r>
            <w:r w:rsidR="006B1739">
              <w:rPr>
                <w:sz w:val="24"/>
                <w:szCs w:val="24"/>
              </w:rPr>
              <w:t xml:space="preserve">следва да е посочена </w:t>
            </w:r>
            <w:r w:rsidR="00AF3988" w:rsidRPr="00DE6BFC">
              <w:rPr>
                <w:sz w:val="24"/>
                <w:szCs w:val="24"/>
              </w:rPr>
              <w:t xml:space="preserve"> дейността на кандидата (икономическа, неикономическа), </w:t>
            </w:r>
            <w:r w:rsidR="006B1739">
              <w:rPr>
                <w:sz w:val="24"/>
                <w:szCs w:val="24"/>
              </w:rPr>
              <w:t>както и</w:t>
            </w:r>
            <w:r w:rsidR="00AF3988" w:rsidRPr="00DE6BFC">
              <w:rPr>
                <w:sz w:val="24"/>
                <w:szCs w:val="24"/>
              </w:rPr>
              <w:t>, че по проекта ще се финансират само нестопански дейности</w:t>
            </w:r>
            <w:r w:rsidR="006B1739">
              <w:rPr>
                <w:sz w:val="24"/>
                <w:szCs w:val="24"/>
              </w:rPr>
              <w:t xml:space="preserve">. Към декларацията кандидатът следва да приложи </w:t>
            </w:r>
            <w:r w:rsidR="00AF3988" w:rsidRPr="00DE6BFC">
              <w:rPr>
                <w:sz w:val="24"/>
                <w:szCs w:val="24"/>
              </w:rPr>
              <w:t>и годишен финансово-счетоводен отчет, от който да е видно финансово-счетоводно (в т.ч. аналитично) обособяване на икономическата и неикономическа дейност</w:t>
            </w:r>
            <w:r w:rsidR="006B1739">
              <w:rPr>
                <w:sz w:val="24"/>
                <w:szCs w:val="24"/>
              </w:rPr>
              <w:t>.</w:t>
            </w:r>
          </w:p>
          <w:p w:rsidR="004B4596" w:rsidRPr="00284EF6" w:rsidRDefault="004B4596" w:rsidP="004B4596">
            <w:pPr>
              <w:shd w:val="clear" w:color="auto" w:fill="FFFFFF"/>
              <w:rPr>
                <w:sz w:val="24"/>
                <w:szCs w:val="24"/>
              </w:rPr>
            </w:pPr>
            <w:r w:rsidRPr="00DE6BFC">
              <w:rPr>
                <w:sz w:val="24"/>
                <w:szCs w:val="24"/>
              </w:rPr>
              <w:t>2</w:t>
            </w:r>
            <w:r w:rsidR="00EA74DD">
              <w:rPr>
                <w:sz w:val="24"/>
                <w:szCs w:val="24"/>
              </w:rPr>
              <w:t>7</w:t>
            </w:r>
            <w:r w:rsidRPr="00DE6BFC">
              <w:rPr>
                <w:sz w:val="24"/>
                <w:szCs w:val="24"/>
              </w:rPr>
              <w:t xml:space="preserve">. </w:t>
            </w:r>
            <w:r w:rsidRPr="00284EF6">
              <w:rPr>
                <w:sz w:val="24"/>
                <w:szCs w:val="24"/>
              </w:rPr>
              <w:t xml:space="preserve">Формуляр за мониторинг </w:t>
            </w:r>
            <w:r w:rsidR="00CE6E04" w:rsidRPr="00284EF6">
              <w:rPr>
                <w:sz w:val="24"/>
                <w:szCs w:val="24"/>
              </w:rPr>
              <w:t>по</w:t>
            </w:r>
            <w:r w:rsidRPr="00284EF6">
              <w:rPr>
                <w:sz w:val="24"/>
                <w:szCs w:val="24"/>
              </w:rPr>
              <w:t xml:space="preserve"> чл. 47, ал. 2, т.3 от Наредба № 22</w:t>
            </w:r>
            <w:r w:rsidR="00CE6E04" w:rsidRPr="00284EF6">
              <w:rPr>
                <w:sz w:val="24"/>
                <w:szCs w:val="24"/>
              </w:rPr>
              <w:t>,</w:t>
            </w:r>
            <w:r w:rsidR="00CE6E04" w:rsidRPr="00284EF6">
              <w:rPr>
                <w:rFonts w:eastAsia="Calibri"/>
                <w:sz w:val="24"/>
                <w:szCs w:val="24"/>
                <w:lang w:eastAsia="en-US"/>
              </w:rPr>
              <w:t xml:space="preserve"> Приложение №</w:t>
            </w:r>
            <w:r w:rsidR="008866E9" w:rsidRPr="00284EF6">
              <w:rPr>
                <w:rFonts w:eastAsia="Calibri"/>
                <w:sz w:val="24"/>
                <w:szCs w:val="24"/>
                <w:lang w:eastAsia="en-US"/>
              </w:rPr>
              <w:t xml:space="preserve">8 </w:t>
            </w:r>
            <w:r w:rsidR="00CE6E04" w:rsidRPr="00284EF6">
              <w:rPr>
                <w:rFonts w:eastAsia="Calibri"/>
                <w:sz w:val="24"/>
                <w:szCs w:val="24"/>
                <w:lang w:eastAsia="en-US"/>
              </w:rPr>
              <w:t>към Условията за кандидатстване</w:t>
            </w:r>
          </w:p>
          <w:p w:rsidR="00CE6E04" w:rsidRPr="00284EF6" w:rsidRDefault="00CE6E04" w:rsidP="00CE6E04">
            <w:pPr>
              <w:shd w:val="clear" w:color="auto" w:fill="FFFFFF"/>
              <w:rPr>
                <w:rFonts w:eastAsia="Calibri"/>
                <w:sz w:val="24"/>
                <w:szCs w:val="24"/>
                <w:lang w:eastAsia="en-US"/>
              </w:rPr>
            </w:pPr>
            <w:r w:rsidRPr="00284EF6">
              <w:rPr>
                <w:rFonts w:eastAsia="Calibri"/>
                <w:sz w:val="24"/>
                <w:szCs w:val="24"/>
                <w:lang w:eastAsia="en-US"/>
              </w:rPr>
              <w:t>2</w:t>
            </w:r>
            <w:r w:rsidR="00B93191" w:rsidRPr="00284EF6">
              <w:rPr>
                <w:rFonts w:eastAsia="Calibri"/>
                <w:sz w:val="24"/>
                <w:szCs w:val="24"/>
                <w:lang w:eastAsia="en-US"/>
              </w:rPr>
              <w:t>8</w:t>
            </w:r>
            <w:r w:rsidRPr="00284EF6">
              <w:rPr>
                <w:rFonts w:eastAsia="Calibri"/>
                <w:sz w:val="24"/>
                <w:szCs w:val="24"/>
                <w:lang w:eastAsia="en-US"/>
              </w:rPr>
              <w:t xml:space="preserve">. </w:t>
            </w:r>
            <w:r w:rsidR="007D342B" w:rsidRPr="00284EF6">
              <w:rPr>
                <w:rFonts w:eastAsia="Calibri"/>
                <w:sz w:val="24"/>
                <w:szCs w:val="24"/>
                <w:lang w:eastAsia="en-US"/>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общината за</w:t>
            </w:r>
            <w:r w:rsidRPr="00284EF6">
              <w:rPr>
                <w:rFonts w:eastAsia="Calibri"/>
                <w:sz w:val="24"/>
                <w:szCs w:val="24"/>
                <w:lang w:eastAsia="en-US"/>
              </w:rPr>
              <w:t xml:space="preserve"> кандидата </w:t>
            </w:r>
            <w:r w:rsidR="008F10E9" w:rsidRPr="00284EF6">
              <w:rPr>
                <w:rFonts w:eastAsia="Calibri"/>
                <w:sz w:val="24"/>
                <w:szCs w:val="24"/>
                <w:lang w:eastAsia="en-US"/>
              </w:rPr>
              <w:t>и всички лица с правомощия за вземане на решение или контрол по отношение на кандидата</w:t>
            </w:r>
            <w:r w:rsidRPr="00284EF6">
              <w:rPr>
                <w:rFonts w:eastAsia="Calibri"/>
                <w:sz w:val="24"/>
                <w:szCs w:val="24"/>
                <w:lang w:eastAsia="en-US"/>
              </w:rPr>
              <w:t>, издадено не по-рано от един месец преди подаване на проектното предложение</w:t>
            </w:r>
          </w:p>
          <w:p w:rsidR="00CE6E04" w:rsidRPr="00DE6BFC" w:rsidRDefault="007D342B" w:rsidP="00CE6E04">
            <w:pPr>
              <w:shd w:val="clear" w:color="auto" w:fill="FFFFFF"/>
              <w:rPr>
                <w:rFonts w:eastAsia="Calibri"/>
                <w:sz w:val="24"/>
                <w:szCs w:val="24"/>
                <w:lang w:eastAsia="en-US"/>
              </w:rPr>
            </w:pPr>
            <w:r w:rsidRPr="00284EF6">
              <w:rPr>
                <w:rFonts w:eastAsia="Calibri"/>
                <w:sz w:val="24"/>
                <w:szCs w:val="24"/>
                <w:lang w:eastAsia="en-US"/>
              </w:rPr>
              <w:lastRenderedPageBreak/>
              <w:t>29</w:t>
            </w:r>
            <w:r w:rsidR="00CE6E04" w:rsidRPr="00284EF6">
              <w:rPr>
                <w:rFonts w:eastAsia="Calibri"/>
                <w:sz w:val="24"/>
                <w:szCs w:val="24"/>
                <w:lang w:eastAsia="en-US"/>
              </w:rPr>
              <w:t>. Удостоверение,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w:t>
            </w:r>
            <w:r w:rsidR="00CE6E04" w:rsidRPr="00DE6BFC">
              <w:rPr>
                <w:rFonts w:eastAsia="Calibri"/>
                <w:sz w:val="24"/>
                <w:szCs w:val="24"/>
                <w:lang w:eastAsia="en-US"/>
              </w:rPr>
              <w:t xml:space="preserve"> (Не се представя от общини. Не се представя за кандидати, за които това  обстоятелство е </w:t>
            </w:r>
            <w:proofErr w:type="spellStart"/>
            <w:r w:rsidR="00CE6E04" w:rsidRPr="00DE6BFC">
              <w:rPr>
                <w:rFonts w:eastAsia="Calibri"/>
                <w:sz w:val="24"/>
                <w:szCs w:val="24"/>
                <w:lang w:eastAsia="en-US"/>
              </w:rPr>
              <w:t>проверимо</w:t>
            </w:r>
            <w:proofErr w:type="spellEnd"/>
            <w:r w:rsidR="00CE6E04" w:rsidRPr="00DE6BFC">
              <w:rPr>
                <w:rFonts w:eastAsia="Calibri"/>
                <w:sz w:val="24"/>
                <w:szCs w:val="24"/>
                <w:lang w:eastAsia="en-US"/>
              </w:rPr>
              <w:t xml:space="preserve"> в </w:t>
            </w:r>
            <w:r w:rsidR="00E15402" w:rsidRPr="00DE6BFC">
              <w:rPr>
                <w:rFonts w:eastAsia="Calibri"/>
                <w:sz w:val="24"/>
                <w:szCs w:val="24"/>
                <w:lang w:eastAsia="en-US"/>
              </w:rPr>
              <w:t>ТРРЮЛНЦ</w:t>
            </w:r>
            <w:r w:rsidR="00CE6E04" w:rsidRPr="00DE6BFC">
              <w:rPr>
                <w:rFonts w:eastAsia="Calibri"/>
                <w:sz w:val="24"/>
                <w:szCs w:val="24"/>
                <w:lang w:eastAsia="en-US"/>
              </w:rPr>
              <w:t>)</w:t>
            </w:r>
          </w:p>
          <w:p w:rsidR="00CE6E04" w:rsidRPr="00284EF6" w:rsidRDefault="007D342B" w:rsidP="00CE6E04">
            <w:pPr>
              <w:shd w:val="clear" w:color="auto" w:fill="FFFFFF"/>
              <w:rPr>
                <w:rFonts w:eastAsia="Calibri"/>
                <w:sz w:val="24"/>
                <w:szCs w:val="24"/>
                <w:lang w:eastAsia="en-US"/>
              </w:rPr>
            </w:pPr>
            <w:r w:rsidRPr="00DE6BFC">
              <w:rPr>
                <w:rFonts w:eastAsia="Calibri"/>
                <w:sz w:val="24"/>
                <w:szCs w:val="24"/>
                <w:lang w:eastAsia="en-US"/>
              </w:rPr>
              <w:t>3</w:t>
            </w:r>
            <w:r>
              <w:rPr>
                <w:rFonts w:eastAsia="Calibri"/>
                <w:sz w:val="24"/>
                <w:szCs w:val="24"/>
                <w:lang w:eastAsia="en-US"/>
              </w:rPr>
              <w:t>0</w:t>
            </w:r>
            <w:r w:rsidR="00CE6E04" w:rsidRPr="00284EF6">
              <w:rPr>
                <w:rFonts w:eastAsia="Calibri"/>
                <w:sz w:val="24"/>
                <w:szCs w:val="24"/>
                <w:lang w:eastAsia="en-US"/>
              </w:rPr>
              <w:t xml:space="preserve">. Удостоверение,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284EF6">
              <w:rPr>
                <w:rFonts w:eastAsia="Calibri"/>
                <w:sz w:val="24"/>
                <w:szCs w:val="24"/>
                <w:lang w:eastAsia="en-US"/>
              </w:rPr>
              <w:t>проверимо</w:t>
            </w:r>
            <w:proofErr w:type="spellEnd"/>
            <w:r w:rsidR="00CE6E04" w:rsidRPr="00284EF6">
              <w:rPr>
                <w:rFonts w:eastAsia="Calibri"/>
                <w:sz w:val="24"/>
                <w:szCs w:val="24"/>
                <w:lang w:eastAsia="en-US"/>
              </w:rPr>
              <w:t xml:space="preserve"> в </w:t>
            </w:r>
            <w:r w:rsidR="00E15402" w:rsidRPr="00284EF6">
              <w:rPr>
                <w:rFonts w:eastAsia="Calibri"/>
                <w:sz w:val="24"/>
                <w:szCs w:val="24"/>
                <w:lang w:eastAsia="en-US"/>
              </w:rPr>
              <w:t>ТРРЮЛНЦ</w:t>
            </w:r>
            <w:r w:rsidR="00CE6E04" w:rsidRPr="00284EF6">
              <w:rPr>
                <w:rFonts w:eastAsia="Calibri"/>
                <w:sz w:val="24"/>
                <w:szCs w:val="24"/>
                <w:lang w:eastAsia="en-US"/>
              </w:rPr>
              <w:t>)</w:t>
            </w:r>
          </w:p>
          <w:p w:rsidR="00CE6E04" w:rsidRPr="00284EF6" w:rsidRDefault="007D342B" w:rsidP="00CE6E04">
            <w:pPr>
              <w:shd w:val="clear" w:color="auto" w:fill="FFFFFF"/>
              <w:rPr>
                <w:rFonts w:eastAsia="Calibri"/>
                <w:sz w:val="24"/>
                <w:szCs w:val="24"/>
                <w:lang w:eastAsia="en-US"/>
              </w:rPr>
            </w:pPr>
            <w:r w:rsidRPr="00284EF6">
              <w:rPr>
                <w:rFonts w:eastAsia="Calibri"/>
                <w:sz w:val="24"/>
                <w:szCs w:val="24"/>
                <w:lang w:eastAsia="en-US"/>
              </w:rPr>
              <w:t>31</w:t>
            </w:r>
            <w:r w:rsidR="00CE6E04" w:rsidRPr="00284EF6">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284EF6">
              <w:rPr>
                <w:rFonts w:eastAsia="Calibri"/>
                <w:sz w:val="24"/>
                <w:szCs w:val="24"/>
                <w:lang w:eastAsia="en-US"/>
              </w:rPr>
              <w:t>проверимо</w:t>
            </w:r>
            <w:proofErr w:type="spellEnd"/>
            <w:r w:rsidR="00CE6E04" w:rsidRPr="00284EF6">
              <w:rPr>
                <w:rFonts w:eastAsia="Calibri"/>
                <w:sz w:val="24"/>
                <w:szCs w:val="24"/>
                <w:lang w:eastAsia="en-US"/>
              </w:rPr>
              <w:t xml:space="preserve"> в </w:t>
            </w:r>
            <w:r w:rsidR="00E15402" w:rsidRPr="00284EF6">
              <w:rPr>
                <w:rFonts w:eastAsia="Calibri"/>
                <w:sz w:val="24"/>
                <w:szCs w:val="24"/>
                <w:lang w:eastAsia="en-US"/>
              </w:rPr>
              <w:t>ТРРЮЛНЦ</w:t>
            </w:r>
            <w:r w:rsidR="00CE6E04" w:rsidRPr="00284EF6">
              <w:rPr>
                <w:rFonts w:eastAsia="Calibri"/>
                <w:sz w:val="24"/>
                <w:szCs w:val="24"/>
                <w:lang w:eastAsia="en-US"/>
              </w:rPr>
              <w:t>)</w:t>
            </w:r>
          </w:p>
          <w:p w:rsidR="00F11346" w:rsidRPr="00284EF6" w:rsidRDefault="007D342B" w:rsidP="00CE6E04">
            <w:pPr>
              <w:shd w:val="clear" w:color="auto" w:fill="FFFFFF"/>
              <w:rPr>
                <w:rFonts w:eastAsia="Calibri"/>
                <w:sz w:val="24"/>
                <w:szCs w:val="24"/>
                <w:lang w:eastAsia="en-US"/>
              </w:rPr>
            </w:pPr>
            <w:r w:rsidRPr="00284EF6">
              <w:rPr>
                <w:rFonts w:eastAsia="Calibri"/>
                <w:sz w:val="24"/>
                <w:szCs w:val="24"/>
                <w:lang w:eastAsia="en-US"/>
              </w:rPr>
              <w:t>32</w:t>
            </w:r>
            <w:r w:rsidR="00F11346" w:rsidRPr="00284EF6">
              <w:rPr>
                <w:rFonts w:eastAsia="Calibri"/>
                <w:sz w:val="24"/>
                <w:szCs w:val="24"/>
                <w:lang w:eastAsia="en-US"/>
              </w:rPr>
              <w:t>.</w:t>
            </w:r>
            <w:r w:rsidR="00F11346" w:rsidRPr="00284EF6">
              <w:t xml:space="preserve"> </w:t>
            </w:r>
            <w:r w:rsidR="00F11346" w:rsidRPr="00284EF6">
              <w:rPr>
                <w:rFonts w:eastAsia="Calibri"/>
                <w:sz w:val="24"/>
                <w:szCs w:val="24"/>
                <w:lang w:eastAsia="en-US"/>
              </w:rPr>
              <w:t xml:space="preserve">Удостоверение от Изпълнителна агенция „Главна инспекция по труда“ </w:t>
            </w:r>
            <w:r w:rsidR="00F1078A" w:rsidRPr="00284EF6">
              <w:rPr>
                <w:rFonts w:eastAsia="Calibri"/>
                <w:sz w:val="24"/>
                <w:szCs w:val="24"/>
                <w:lang w:eastAsia="en-US"/>
              </w:rPr>
              <w:t xml:space="preserve">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 </w:t>
            </w:r>
            <w:r w:rsidR="00F11346" w:rsidRPr="00284EF6">
              <w:rPr>
                <w:rFonts w:eastAsia="Calibri"/>
                <w:sz w:val="24"/>
                <w:szCs w:val="24"/>
                <w:lang w:eastAsia="en-US"/>
              </w:rPr>
              <w:t>във връзка с обстоятелствата по чл.12, ал. 3, т.8 от Наредба 22</w:t>
            </w:r>
          </w:p>
          <w:p w:rsidR="00FA70CA" w:rsidRPr="00284EF6" w:rsidRDefault="007D342B" w:rsidP="00FA70CA">
            <w:pPr>
              <w:shd w:val="clear" w:color="auto" w:fill="FEFEFE"/>
              <w:spacing w:line="240" w:lineRule="auto"/>
              <w:rPr>
                <w:rFonts w:ascii="Verdana" w:hAnsi="Verdana"/>
                <w:sz w:val="22"/>
                <w:szCs w:val="22"/>
              </w:rPr>
            </w:pPr>
            <w:r w:rsidRPr="00284EF6">
              <w:rPr>
                <w:rFonts w:eastAsia="Calibri"/>
                <w:sz w:val="24"/>
                <w:szCs w:val="24"/>
                <w:lang w:eastAsia="en-US"/>
              </w:rPr>
              <w:t>33</w:t>
            </w:r>
            <w:r w:rsidR="00FA70CA" w:rsidRPr="00284EF6">
              <w:rPr>
                <w:rFonts w:eastAsia="Calibri"/>
                <w:sz w:val="24"/>
                <w:szCs w:val="24"/>
                <w:lang w:eastAsia="en-US"/>
              </w:rPr>
              <w:t xml:space="preserve">. </w:t>
            </w:r>
            <w:r w:rsidR="00FA70CA" w:rsidRPr="00284EF6">
              <w:rPr>
                <w:sz w:val="24"/>
                <w:szCs w:val="24"/>
              </w:rPr>
              <w:t xml:space="preserve">Декларация </w:t>
            </w:r>
            <w:r w:rsidR="00567B89" w:rsidRPr="00284EF6">
              <w:rPr>
                <w:sz w:val="24"/>
                <w:szCs w:val="24"/>
              </w:rPr>
              <w:t xml:space="preserve">за нередности </w:t>
            </w:r>
            <w:r w:rsidR="00FA70CA" w:rsidRPr="00284EF6">
              <w:rPr>
                <w:sz w:val="24"/>
                <w:szCs w:val="24"/>
              </w:rPr>
              <w:t>по чл.36, ал. 1, т.2 от Наредба №22, Приложение №</w:t>
            </w:r>
            <w:r w:rsidR="008866E9" w:rsidRPr="00284EF6">
              <w:rPr>
                <w:sz w:val="24"/>
                <w:szCs w:val="24"/>
              </w:rPr>
              <w:t>9</w:t>
            </w:r>
            <w:r w:rsidR="008866E9" w:rsidRPr="00284EF6">
              <w:t xml:space="preserve"> </w:t>
            </w:r>
            <w:r w:rsidR="00FA70CA" w:rsidRPr="00284EF6">
              <w:rPr>
                <w:sz w:val="24"/>
                <w:szCs w:val="24"/>
              </w:rPr>
              <w:t>към Условията за кандидатстване</w:t>
            </w:r>
          </w:p>
          <w:p w:rsidR="00567B89" w:rsidRDefault="007D342B" w:rsidP="00CE6E04">
            <w:pPr>
              <w:shd w:val="clear" w:color="auto" w:fill="FFFFFF"/>
              <w:rPr>
                <w:rFonts w:eastAsia="Calibri"/>
                <w:sz w:val="24"/>
                <w:szCs w:val="24"/>
                <w:lang w:eastAsia="en-US"/>
              </w:rPr>
            </w:pPr>
            <w:r w:rsidRPr="00284EF6">
              <w:rPr>
                <w:rFonts w:eastAsia="Calibri"/>
                <w:sz w:val="24"/>
                <w:szCs w:val="24"/>
                <w:lang w:eastAsia="en-US"/>
              </w:rPr>
              <w:t>34</w:t>
            </w:r>
            <w:r w:rsidR="00342B9B" w:rsidRPr="00284EF6">
              <w:rPr>
                <w:rFonts w:eastAsia="Calibri"/>
                <w:sz w:val="24"/>
                <w:szCs w:val="24"/>
                <w:lang w:eastAsia="en-US"/>
              </w:rPr>
              <w:t xml:space="preserve">. </w:t>
            </w:r>
            <w:r w:rsidR="00510D68" w:rsidRPr="00284EF6">
              <w:rPr>
                <w:rFonts w:eastAsia="Calibri"/>
                <w:sz w:val="24"/>
                <w:szCs w:val="24"/>
                <w:lang w:eastAsia="en-US"/>
              </w:rPr>
              <w:t xml:space="preserve">Документ за собственост </w:t>
            </w:r>
            <w:r w:rsidR="00567B89" w:rsidRPr="00284EF6">
              <w:rPr>
                <w:rFonts w:eastAsia="Calibri"/>
                <w:sz w:val="24"/>
                <w:szCs w:val="24"/>
                <w:lang w:eastAsia="en-US"/>
              </w:rPr>
              <w:t xml:space="preserve">или документ за ползване </w:t>
            </w:r>
            <w:r w:rsidR="00510D68" w:rsidRPr="00284EF6">
              <w:rPr>
                <w:rFonts w:eastAsia="Calibri"/>
                <w:sz w:val="24"/>
                <w:szCs w:val="24"/>
                <w:lang w:eastAsia="en-US"/>
              </w:rPr>
              <w:t>върху имота</w:t>
            </w:r>
            <w:r w:rsidR="00510D68" w:rsidRPr="00DE6BFC">
              <w:rPr>
                <w:rFonts w:eastAsia="Calibri"/>
                <w:sz w:val="24"/>
                <w:szCs w:val="24"/>
                <w:lang w:eastAsia="en-US"/>
              </w:rPr>
              <w:t>, върху който се изпълнява проекта</w:t>
            </w:r>
            <w:r w:rsidR="00567B89">
              <w:rPr>
                <w:rFonts w:eastAsia="Calibri"/>
                <w:sz w:val="24"/>
                <w:szCs w:val="24"/>
                <w:lang w:eastAsia="en-US"/>
              </w:rPr>
              <w:t>.</w:t>
            </w:r>
            <w:r w:rsidR="00510D68" w:rsidRPr="00DE6BFC">
              <w:rPr>
                <w:rFonts w:eastAsia="Calibri"/>
                <w:sz w:val="24"/>
                <w:szCs w:val="24"/>
                <w:lang w:eastAsia="en-US"/>
              </w:rPr>
              <w:t xml:space="preserve"> </w:t>
            </w:r>
          </w:p>
          <w:p w:rsidR="006A6AD9" w:rsidRDefault="00567B89" w:rsidP="00CE6E04">
            <w:pPr>
              <w:shd w:val="clear" w:color="auto" w:fill="FFFFFF"/>
              <w:rPr>
                <w:rFonts w:eastAsia="Calibri"/>
                <w:sz w:val="24"/>
                <w:szCs w:val="24"/>
                <w:lang w:val="en-GB" w:eastAsia="en-US"/>
              </w:rPr>
            </w:pPr>
            <w:r>
              <w:rPr>
                <w:rFonts w:eastAsia="Calibri"/>
                <w:sz w:val="24"/>
                <w:szCs w:val="24"/>
                <w:lang w:eastAsia="en-US"/>
              </w:rPr>
              <w:t>К</w:t>
            </w:r>
            <w:r w:rsidR="00510D68" w:rsidRPr="00DE6BFC">
              <w:rPr>
                <w:rFonts w:eastAsia="Calibri"/>
                <w:sz w:val="24"/>
                <w:szCs w:val="24"/>
                <w:lang w:eastAsia="en-US"/>
              </w:rPr>
              <w:t xml:space="preserve">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към </w:t>
            </w:r>
            <w:r w:rsidR="006A6AD9" w:rsidRPr="001F2731">
              <w:rPr>
                <w:rFonts w:eastAsia="Calibri"/>
                <w:sz w:val="24"/>
                <w:szCs w:val="24"/>
                <w:lang w:eastAsia="en-US"/>
              </w:rPr>
              <w:t>С</w:t>
            </w:r>
            <w:r w:rsidR="00510D68" w:rsidRPr="001F2731">
              <w:rPr>
                <w:rFonts w:eastAsia="Calibri"/>
                <w:sz w:val="24"/>
                <w:szCs w:val="24"/>
                <w:lang w:eastAsia="en-US"/>
              </w:rPr>
              <w:t>ВОМР</w:t>
            </w:r>
            <w:r w:rsidR="00510D68" w:rsidRPr="00DE6BFC">
              <w:rPr>
                <w:rFonts w:eastAsia="Calibri"/>
                <w:sz w:val="24"/>
                <w:szCs w:val="24"/>
                <w:lang w:eastAsia="en-US"/>
              </w:rPr>
              <w:t>,</w:t>
            </w:r>
            <w:r w:rsidR="00510D68" w:rsidRPr="00DE6BFC">
              <w:t xml:space="preserve"> </w:t>
            </w:r>
            <w:r w:rsidR="00510D68" w:rsidRPr="00DE6BFC">
              <w:rPr>
                <w:rFonts w:eastAsia="Calibri"/>
                <w:sz w:val="24"/>
                <w:szCs w:val="24"/>
                <w:lang w:eastAsia="en-US"/>
              </w:rPr>
              <w:t xml:space="preserve"> вписан в районната служба по вписванията,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Закона за устройство на територията</w:t>
            </w:r>
            <w:r w:rsidR="006A6AD9">
              <w:rPr>
                <w:rFonts w:eastAsia="Calibri"/>
                <w:sz w:val="24"/>
                <w:szCs w:val="24"/>
                <w:lang w:val="en-GB" w:eastAsia="en-US"/>
              </w:rPr>
              <w:t>;</w:t>
            </w:r>
            <w:r w:rsidR="00510D68" w:rsidRPr="00DE6BFC">
              <w:rPr>
                <w:rFonts w:eastAsia="Calibri"/>
                <w:sz w:val="24"/>
                <w:szCs w:val="24"/>
                <w:lang w:eastAsia="en-US"/>
              </w:rPr>
              <w:t xml:space="preserve"> </w:t>
            </w:r>
          </w:p>
          <w:p w:rsidR="00F15E5A" w:rsidRPr="00DE6BFC" w:rsidRDefault="006A6AD9" w:rsidP="00CE6E04">
            <w:pPr>
              <w:shd w:val="clear" w:color="auto" w:fill="FFFFFF"/>
              <w:rPr>
                <w:rFonts w:eastAsia="Calibri"/>
                <w:sz w:val="24"/>
                <w:szCs w:val="24"/>
                <w:lang w:eastAsia="en-US"/>
              </w:rPr>
            </w:pPr>
            <w:r w:rsidRPr="001F2731">
              <w:rPr>
                <w:rFonts w:eastAsia="Calibri"/>
                <w:b/>
                <w:sz w:val="24"/>
                <w:szCs w:val="24"/>
                <w:lang w:eastAsia="en-US"/>
              </w:rPr>
              <w:t>или</w:t>
            </w:r>
            <w:r w:rsidRPr="001F2731">
              <w:rPr>
                <w:rFonts w:eastAsia="Calibri"/>
                <w:b/>
                <w:sz w:val="24"/>
                <w:szCs w:val="24"/>
                <w:lang w:val="en-GB" w:eastAsia="en-US"/>
              </w:rPr>
              <w:t xml:space="preserve"> </w:t>
            </w:r>
            <w:r w:rsidRPr="001F2731">
              <w:rPr>
                <w:rFonts w:eastAsia="Calibri"/>
                <w:b/>
                <w:sz w:val="24"/>
                <w:szCs w:val="24"/>
                <w:lang w:eastAsia="en-US"/>
              </w:rPr>
              <w:t>документ</w:t>
            </w:r>
            <w:r w:rsidRPr="00DE6BFC">
              <w:rPr>
                <w:rFonts w:eastAsia="Calibri"/>
                <w:sz w:val="24"/>
                <w:szCs w:val="24"/>
                <w:lang w:eastAsia="en-US"/>
              </w:rPr>
              <w:t xml:space="preserve"> </w:t>
            </w:r>
            <w:r w:rsidR="00510D68" w:rsidRPr="00DE6BFC">
              <w:rPr>
                <w:rFonts w:eastAsia="Calibri"/>
                <w:sz w:val="24"/>
                <w:szCs w:val="24"/>
                <w:lang w:eastAsia="en-US"/>
              </w:rPr>
              <w:t xml:space="preserve">за ползване на имота за срок не по-малко от 6 години, считано от датата на подаване на проектното предложение към </w:t>
            </w:r>
            <w:r>
              <w:rPr>
                <w:rFonts w:eastAsia="Calibri"/>
                <w:sz w:val="24"/>
                <w:szCs w:val="24"/>
                <w:lang w:eastAsia="en-US"/>
              </w:rPr>
              <w:t>С</w:t>
            </w:r>
            <w:r w:rsidR="00510D68" w:rsidRPr="00DE6BFC">
              <w:rPr>
                <w:rFonts w:eastAsia="Calibri"/>
                <w:sz w:val="24"/>
                <w:szCs w:val="24"/>
                <w:lang w:eastAsia="en-US"/>
              </w:rPr>
              <w:t xml:space="preserve">ВОМР, вписан в районната служба по вписванията - в случай на кандидатстване за разходи за закупуване и/или инсталиране на </w:t>
            </w:r>
            <w:r w:rsidR="00AB3A15" w:rsidRPr="00DE6BFC">
              <w:rPr>
                <w:rFonts w:eastAsia="Calibri"/>
                <w:sz w:val="24"/>
                <w:szCs w:val="24"/>
                <w:lang w:eastAsia="en-US"/>
              </w:rPr>
              <w:t xml:space="preserve">машини, </w:t>
            </w:r>
            <w:r w:rsidR="00510D68" w:rsidRPr="00DE6BFC">
              <w:rPr>
                <w:rFonts w:eastAsia="Calibri"/>
                <w:sz w:val="24"/>
                <w:szCs w:val="24"/>
                <w:lang w:eastAsia="en-US"/>
              </w:rPr>
              <w:t>оборудване</w:t>
            </w:r>
            <w:r w:rsidR="00AB3A15" w:rsidRPr="00DE6BFC">
              <w:rPr>
                <w:rFonts w:eastAsia="Calibri"/>
                <w:sz w:val="24"/>
                <w:szCs w:val="24"/>
                <w:lang w:eastAsia="en-US"/>
              </w:rPr>
              <w:t xml:space="preserve">, обзавеждане </w:t>
            </w:r>
            <w:r w:rsidR="00510D68" w:rsidRPr="00DE6BFC">
              <w:rPr>
                <w:rFonts w:eastAsia="Calibri"/>
                <w:sz w:val="24"/>
                <w:szCs w:val="24"/>
                <w:lang w:eastAsia="en-US"/>
              </w:rPr>
              <w:t>или строително-монтажни работи, за които не се изисква издаване на разрешение за строеж съгласно Закона за устройство на територията.</w:t>
            </w:r>
          </w:p>
          <w:p w:rsidR="00C64B98" w:rsidRPr="00DE6BFC" w:rsidRDefault="00C64B98" w:rsidP="00CE6E04">
            <w:pPr>
              <w:shd w:val="clear" w:color="auto" w:fill="FFFFFF"/>
              <w:rPr>
                <w:rFonts w:eastAsia="Calibri"/>
                <w:sz w:val="24"/>
                <w:szCs w:val="24"/>
                <w:lang w:eastAsia="en-US"/>
              </w:rPr>
            </w:pPr>
          </w:p>
          <w:p w:rsidR="00536AB6" w:rsidRPr="00DE6BFC" w:rsidRDefault="00773DC9" w:rsidP="00773DC9">
            <w:pPr>
              <w:shd w:val="clear" w:color="auto" w:fill="FFFFFF"/>
              <w:rPr>
                <w:b/>
                <w:sz w:val="24"/>
                <w:szCs w:val="24"/>
              </w:rPr>
            </w:pPr>
            <w:r w:rsidRPr="00DE6BFC">
              <w:rPr>
                <w:b/>
                <w:sz w:val="24"/>
                <w:szCs w:val="24"/>
              </w:rPr>
              <w:t>ІІ. Специфични документи</w:t>
            </w:r>
            <w:r w:rsidR="00536AB6" w:rsidRPr="00DE6BFC">
              <w:rPr>
                <w:b/>
                <w:sz w:val="24"/>
                <w:szCs w:val="24"/>
              </w:rPr>
              <w:t>:</w:t>
            </w:r>
          </w:p>
          <w:p w:rsidR="00773DC9" w:rsidRPr="00DE6BFC" w:rsidRDefault="00536AB6" w:rsidP="00773DC9">
            <w:pPr>
              <w:shd w:val="clear" w:color="auto" w:fill="FFFFFF"/>
              <w:rPr>
                <w:b/>
                <w:sz w:val="24"/>
                <w:szCs w:val="24"/>
              </w:rPr>
            </w:pPr>
            <w:r w:rsidRPr="00DE6BFC">
              <w:rPr>
                <w:b/>
                <w:sz w:val="24"/>
                <w:szCs w:val="24"/>
              </w:rPr>
              <w:t>В</w:t>
            </w:r>
            <w:r w:rsidR="00773DC9" w:rsidRPr="00DE6BFC">
              <w:rPr>
                <w:b/>
                <w:sz w:val="24"/>
                <w:szCs w:val="24"/>
              </w:rPr>
              <w:t xml:space="preserve"> случай на проект с инвестиции за извършване на строително-монтажни работи: </w:t>
            </w:r>
          </w:p>
          <w:p w:rsidR="00773DC9" w:rsidRPr="00284EF6" w:rsidRDefault="00510D68" w:rsidP="00773DC9">
            <w:pPr>
              <w:rPr>
                <w:sz w:val="24"/>
                <w:szCs w:val="24"/>
              </w:rPr>
            </w:pPr>
            <w:r w:rsidRPr="00284EF6">
              <w:rPr>
                <w:sz w:val="24"/>
                <w:szCs w:val="24"/>
              </w:rPr>
              <w:t>1</w:t>
            </w:r>
            <w:r w:rsidR="00773DC9" w:rsidRPr="00284EF6">
              <w:rPr>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w:t>
            </w:r>
            <w:r w:rsidR="00773DC9" w:rsidRPr="00284EF6">
              <w:rPr>
                <w:sz w:val="24"/>
                <w:szCs w:val="24"/>
              </w:rPr>
              <w:lastRenderedPageBreak/>
              <w:t>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284EF6" w:rsidRDefault="00510D68" w:rsidP="00773DC9">
            <w:pPr>
              <w:rPr>
                <w:sz w:val="24"/>
                <w:szCs w:val="24"/>
              </w:rPr>
            </w:pPr>
            <w:r w:rsidRPr="00284EF6">
              <w:rPr>
                <w:sz w:val="24"/>
                <w:szCs w:val="24"/>
              </w:rPr>
              <w:t>2</w:t>
            </w:r>
            <w:r w:rsidR="00773DC9" w:rsidRPr="00284EF6">
              <w:rPr>
                <w:sz w:val="24"/>
                <w:szCs w:val="24"/>
              </w:rPr>
              <w:t>.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73DC9" w:rsidRPr="00284EF6" w:rsidRDefault="00510D68" w:rsidP="00773DC9">
            <w:pPr>
              <w:rPr>
                <w:sz w:val="24"/>
                <w:szCs w:val="24"/>
              </w:rPr>
            </w:pPr>
            <w:r w:rsidRPr="00284EF6">
              <w:rPr>
                <w:sz w:val="24"/>
                <w:szCs w:val="24"/>
              </w:rPr>
              <w:t>3</w:t>
            </w:r>
            <w:r w:rsidR="00773DC9" w:rsidRPr="00284EF6">
              <w:rPr>
                <w:sz w:val="24"/>
                <w:szCs w:val="24"/>
              </w:rPr>
              <w:t>.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58646F" w:rsidRPr="00284EF6" w:rsidRDefault="0058646F" w:rsidP="0058646F">
            <w:pPr>
              <w:widowControl w:val="0"/>
              <w:autoSpaceDE w:val="0"/>
              <w:autoSpaceDN w:val="0"/>
              <w:adjustRightInd w:val="0"/>
              <w:spacing w:line="240" w:lineRule="auto"/>
              <w:rPr>
                <w:i/>
                <w:sz w:val="24"/>
                <w:szCs w:val="24"/>
              </w:rPr>
            </w:pPr>
            <w:r w:rsidRPr="00284EF6">
              <w:rPr>
                <w:i/>
                <w:sz w:val="24"/>
                <w:szCs w:val="24"/>
              </w:rPr>
              <w:t>Количествените сметки се подават освен във формат "</w:t>
            </w:r>
            <w:proofErr w:type="spellStart"/>
            <w:r w:rsidRPr="00284EF6">
              <w:rPr>
                <w:i/>
                <w:sz w:val="24"/>
                <w:szCs w:val="24"/>
              </w:rPr>
              <w:t>pdf</w:t>
            </w:r>
            <w:proofErr w:type="spellEnd"/>
            <w:r w:rsidRPr="00284EF6">
              <w:rPr>
                <w:i/>
                <w:sz w:val="24"/>
                <w:szCs w:val="24"/>
              </w:rPr>
              <w:t>" и във формат „</w:t>
            </w:r>
            <w:proofErr w:type="spellStart"/>
            <w:r w:rsidRPr="00284EF6">
              <w:rPr>
                <w:i/>
                <w:sz w:val="24"/>
                <w:szCs w:val="24"/>
              </w:rPr>
              <w:t>xls</w:t>
            </w:r>
            <w:proofErr w:type="spellEnd"/>
            <w:r w:rsidRPr="00284EF6">
              <w:rPr>
                <w:i/>
                <w:sz w:val="24"/>
                <w:szCs w:val="24"/>
              </w:rPr>
              <w:t>”/„</w:t>
            </w:r>
            <w:proofErr w:type="spellStart"/>
            <w:r w:rsidRPr="00284EF6">
              <w:rPr>
                <w:i/>
                <w:sz w:val="24"/>
                <w:szCs w:val="24"/>
              </w:rPr>
              <w:t>xlsx</w:t>
            </w:r>
            <w:proofErr w:type="spellEnd"/>
            <w:r w:rsidRPr="00284EF6">
              <w:rPr>
                <w:i/>
                <w:sz w:val="24"/>
                <w:szCs w:val="24"/>
              </w:rPr>
              <w:t>.</w:t>
            </w:r>
          </w:p>
          <w:p w:rsidR="00773DC9" w:rsidRPr="00DE6BFC" w:rsidRDefault="00510D68" w:rsidP="00773DC9">
            <w:pPr>
              <w:rPr>
                <w:sz w:val="24"/>
                <w:szCs w:val="24"/>
              </w:rPr>
            </w:pPr>
            <w:r w:rsidRPr="00284EF6">
              <w:rPr>
                <w:sz w:val="24"/>
                <w:szCs w:val="24"/>
              </w:rPr>
              <w:t>4</w:t>
            </w:r>
            <w:r w:rsidR="00773DC9" w:rsidRPr="00284EF6">
              <w:rPr>
                <w:sz w:val="24"/>
                <w:szCs w:val="24"/>
              </w:rPr>
              <w:t xml:space="preserve">. </w:t>
            </w:r>
            <w:r w:rsidR="007243D8" w:rsidRPr="00284EF6">
              <w:rPr>
                <w:sz w:val="24"/>
                <w:szCs w:val="24"/>
              </w:rPr>
              <w:t>К</w:t>
            </w:r>
            <w:r w:rsidR="00773DC9" w:rsidRPr="00284EF6">
              <w:rPr>
                <w:sz w:val="24"/>
                <w:szCs w:val="24"/>
              </w:rPr>
              <w:t>оличествено-стойностни сметки</w:t>
            </w:r>
            <w:r w:rsidR="00773DC9" w:rsidRPr="00DE6BFC">
              <w:rPr>
                <w:sz w:val="24"/>
                <w:szCs w:val="24"/>
              </w:rPr>
              <w:t>, включително и във формат „</w:t>
            </w:r>
            <w:proofErr w:type="spellStart"/>
            <w:r w:rsidR="00773DC9" w:rsidRPr="00DE6BFC">
              <w:rPr>
                <w:sz w:val="24"/>
                <w:szCs w:val="24"/>
              </w:rPr>
              <w:t>xls</w:t>
            </w:r>
            <w:proofErr w:type="spellEnd"/>
            <w:r w:rsidR="00773DC9" w:rsidRPr="00DE6BFC">
              <w:rPr>
                <w:sz w:val="24"/>
                <w:szCs w:val="24"/>
              </w:rPr>
              <w:t>“ (когато е приложимо)</w:t>
            </w:r>
          </w:p>
          <w:p w:rsidR="0058646F" w:rsidRPr="00DE6BFC" w:rsidRDefault="0058646F" w:rsidP="0058646F">
            <w:pPr>
              <w:widowControl w:val="0"/>
              <w:autoSpaceDE w:val="0"/>
              <w:autoSpaceDN w:val="0"/>
              <w:adjustRightInd w:val="0"/>
              <w:spacing w:line="240" w:lineRule="auto"/>
              <w:rPr>
                <w:i/>
                <w:sz w:val="24"/>
                <w:szCs w:val="24"/>
              </w:rPr>
            </w:pPr>
            <w:r w:rsidRPr="00DE6BFC">
              <w:rPr>
                <w:i/>
                <w:sz w:val="24"/>
                <w:szCs w:val="24"/>
              </w:rPr>
              <w:t>Количествено-стойностните сметки се подава</w:t>
            </w:r>
            <w:r w:rsidR="007243D8">
              <w:rPr>
                <w:i/>
                <w:sz w:val="24"/>
                <w:szCs w:val="24"/>
              </w:rPr>
              <w:t>т</w:t>
            </w:r>
            <w:r w:rsidRPr="00DE6BFC">
              <w:rPr>
                <w:i/>
                <w:sz w:val="24"/>
                <w:szCs w:val="24"/>
              </w:rPr>
              <w:t xml:space="preserve"> освен във формат "</w:t>
            </w:r>
            <w:proofErr w:type="spellStart"/>
            <w:r w:rsidRPr="00DE6BFC">
              <w:rPr>
                <w:i/>
                <w:sz w:val="24"/>
                <w:szCs w:val="24"/>
              </w:rPr>
              <w:t>pdf</w:t>
            </w:r>
            <w:proofErr w:type="spellEnd"/>
            <w:r w:rsidRPr="00DE6BFC">
              <w:rPr>
                <w:i/>
                <w:sz w:val="24"/>
                <w:szCs w:val="24"/>
              </w:rPr>
              <w:t>" и във формат „</w:t>
            </w:r>
            <w:proofErr w:type="spellStart"/>
            <w:r w:rsidRPr="00DE6BFC">
              <w:rPr>
                <w:i/>
                <w:sz w:val="24"/>
                <w:szCs w:val="24"/>
              </w:rPr>
              <w:t>xls</w:t>
            </w:r>
            <w:proofErr w:type="spellEnd"/>
            <w:r w:rsidRPr="00DE6BFC">
              <w:rPr>
                <w:i/>
                <w:sz w:val="24"/>
                <w:szCs w:val="24"/>
              </w:rPr>
              <w:t>”/„</w:t>
            </w:r>
            <w:proofErr w:type="spellStart"/>
            <w:r w:rsidRPr="00DE6BFC">
              <w:rPr>
                <w:i/>
                <w:sz w:val="24"/>
                <w:szCs w:val="24"/>
              </w:rPr>
              <w:t>xlsx</w:t>
            </w:r>
            <w:proofErr w:type="spellEnd"/>
            <w:r w:rsidRPr="00DE6BFC">
              <w:rPr>
                <w:i/>
                <w:sz w:val="24"/>
                <w:szCs w:val="24"/>
              </w:rPr>
              <w:t>.</w:t>
            </w:r>
          </w:p>
          <w:p w:rsidR="00773DC9" w:rsidRPr="00284EF6" w:rsidRDefault="00510D68" w:rsidP="00773DC9">
            <w:pPr>
              <w:shd w:val="clear" w:color="auto" w:fill="FFFFFF"/>
              <w:rPr>
                <w:sz w:val="24"/>
                <w:szCs w:val="24"/>
              </w:rPr>
            </w:pPr>
            <w:r w:rsidRPr="00DE6BFC">
              <w:rPr>
                <w:sz w:val="24"/>
                <w:szCs w:val="24"/>
              </w:rPr>
              <w:t>5</w:t>
            </w:r>
            <w:r w:rsidR="00773DC9" w:rsidRPr="00DE6BFC">
              <w:rPr>
                <w:sz w:val="24"/>
                <w:szCs w:val="24"/>
              </w:rPr>
              <w:t xml:space="preserve">. </w:t>
            </w:r>
            <w:r w:rsidR="00773DC9" w:rsidRPr="00284EF6">
              <w:rPr>
                <w:sz w:val="24"/>
                <w:szCs w:val="24"/>
              </w:rPr>
              <w:t>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културни ценности)</w:t>
            </w:r>
          </w:p>
          <w:p w:rsidR="00773DC9" w:rsidRPr="00284EF6" w:rsidRDefault="00510D68" w:rsidP="00773DC9">
            <w:pPr>
              <w:shd w:val="clear" w:color="auto" w:fill="FFFFFF"/>
              <w:rPr>
                <w:sz w:val="24"/>
                <w:szCs w:val="24"/>
              </w:rPr>
            </w:pPr>
            <w:r w:rsidRPr="00284EF6">
              <w:rPr>
                <w:sz w:val="24"/>
                <w:szCs w:val="24"/>
              </w:rPr>
              <w:t>6</w:t>
            </w:r>
            <w:r w:rsidR="00773DC9" w:rsidRPr="00284EF6">
              <w:rPr>
                <w:sz w:val="24"/>
                <w:szCs w:val="24"/>
              </w:rPr>
              <w:t>.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DE6BFC" w:rsidRDefault="00510D68" w:rsidP="00773DC9">
            <w:pPr>
              <w:shd w:val="clear" w:color="auto" w:fill="FFFFFF"/>
              <w:rPr>
                <w:sz w:val="24"/>
                <w:szCs w:val="24"/>
              </w:rPr>
            </w:pPr>
            <w:r w:rsidRPr="00284EF6">
              <w:rPr>
                <w:sz w:val="24"/>
                <w:szCs w:val="24"/>
              </w:rPr>
              <w:t>7</w:t>
            </w:r>
            <w:r w:rsidR="00773DC9" w:rsidRPr="00284EF6">
              <w:rPr>
                <w:sz w:val="24"/>
                <w:szCs w:val="24"/>
              </w:rPr>
              <w:t>. Разрешение за поставяне, издадено в съответствие със ЗУТ</w:t>
            </w:r>
            <w:r w:rsidR="00773DC9" w:rsidRPr="00DE6BFC">
              <w:rPr>
                <w:sz w:val="24"/>
                <w:szCs w:val="24"/>
              </w:rPr>
              <w:t xml:space="preserve"> (важи, в случай че проектът включва разходи за </w:t>
            </w:r>
            <w:proofErr w:type="spellStart"/>
            <w:r w:rsidR="00773DC9" w:rsidRPr="00DE6BFC">
              <w:rPr>
                <w:sz w:val="24"/>
                <w:szCs w:val="24"/>
              </w:rPr>
              <w:t>преместваеми</w:t>
            </w:r>
            <w:proofErr w:type="spellEnd"/>
            <w:r w:rsidR="00773DC9" w:rsidRPr="00DE6BFC">
              <w:rPr>
                <w:sz w:val="24"/>
                <w:szCs w:val="24"/>
              </w:rPr>
              <w:t xml:space="preserve"> обекти и елементи на градското обзавеждане)</w:t>
            </w:r>
          </w:p>
          <w:p w:rsidR="00773DC9" w:rsidRPr="00284EF6" w:rsidRDefault="00510D68" w:rsidP="00773DC9">
            <w:pPr>
              <w:shd w:val="clear" w:color="auto" w:fill="FFFFFF"/>
              <w:rPr>
                <w:sz w:val="24"/>
                <w:szCs w:val="24"/>
              </w:rPr>
            </w:pPr>
            <w:r w:rsidRPr="00DE6BFC">
              <w:rPr>
                <w:sz w:val="24"/>
                <w:szCs w:val="24"/>
              </w:rPr>
              <w:t>8</w:t>
            </w:r>
            <w:r w:rsidR="00773DC9" w:rsidRPr="00DE6BFC">
              <w:rPr>
                <w:sz w:val="24"/>
                <w:szCs w:val="24"/>
              </w:rPr>
              <w:t xml:space="preserve">. </w:t>
            </w:r>
            <w:r w:rsidR="00773DC9" w:rsidRPr="00284EF6">
              <w:rPr>
                <w:sz w:val="24"/>
                <w:szCs w:val="24"/>
              </w:rPr>
              <w:t>Удостоверение за ползван патент и/или удостоверение за полезен модел или внедряване на инвестиции, когато е приложимо;</w:t>
            </w:r>
          </w:p>
          <w:p w:rsidR="00D37B47" w:rsidRPr="00DE6BFC" w:rsidRDefault="00510D68" w:rsidP="0094126E">
            <w:pPr>
              <w:shd w:val="clear" w:color="auto" w:fill="FFFFFF" w:themeFill="background1"/>
              <w:rPr>
                <w:sz w:val="24"/>
                <w:szCs w:val="24"/>
              </w:rPr>
            </w:pPr>
            <w:r w:rsidRPr="00284EF6">
              <w:rPr>
                <w:sz w:val="24"/>
                <w:szCs w:val="24"/>
              </w:rPr>
              <w:t>9</w:t>
            </w:r>
            <w:r w:rsidR="00044B09" w:rsidRPr="00284EF6">
              <w:rPr>
                <w:sz w:val="24"/>
                <w:szCs w:val="24"/>
              </w:rPr>
              <w:t>.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00044B09" w:rsidRPr="00284EF6">
              <w:rPr>
                <w:sz w:val="24"/>
                <w:szCs w:val="24"/>
              </w:rPr>
              <w:t>ВиК</w:t>
            </w:r>
            <w:proofErr w:type="spellEnd"/>
            <w:r w:rsidR="00044B09" w:rsidRPr="00284EF6">
              <w:rPr>
                <w:sz w:val="24"/>
                <w:szCs w:val="24"/>
              </w:rPr>
              <w:t xml:space="preserve">) или не се предвижда да се изграждат или реконструират </w:t>
            </w:r>
            <w:proofErr w:type="spellStart"/>
            <w:r w:rsidR="00044B09" w:rsidRPr="00284EF6">
              <w:rPr>
                <w:sz w:val="24"/>
                <w:szCs w:val="24"/>
              </w:rPr>
              <w:t>ВиК</w:t>
            </w:r>
            <w:proofErr w:type="spellEnd"/>
            <w:r w:rsidR="00044B09" w:rsidRPr="00284EF6">
              <w:rPr>
                <w:sz w:val="24"/>
                <w:szCs w:val="24"/>
              </w:rPr>
              <w:t xml:space="preserve"> системи за период седем години считано от датата на сключване на договора за предоставяне на финансовата помощ</w:t>
            </w:r>
            <w:r w:rsidR="00B143C0" w:rsidRPr="00284EF6">
              <w:rPr>
                <w:sz w:val="24"/>
                <w:szCs w:val="24"/>
              </w:rPr>
              <w:t xml:space="preserve"> (когато е приложимо).</w:t>
            </w:r>
          </w:p>
          <w:p w:rsidR="00D449BE" w:rsidRPr="00DE6BFC" w:rsidRDefault="00D449BE" w:rsidP="0094126E">
            <w:pPr>
              <w:shd w:val="clear" w:color="auto" w:fill="FFFFFF" w:themeFill="background1"/>
              <w:rPr>
                <w:sz w:val="24"/>
                <w:szCs w:val="24"/>
              </w:rPr>
            </w:pPr>
          </w:p>
          <w:p w:rsidR="00D449BE" w:rsidRPr="00DE6BFC" w:rsidRDefault="00D449BE" w:rsidP="00D449BE">
            <w:pPr>
              <w:shd w:val="clear" w:color="auto" w:fill="D9D9D9" w:themeFill="background1" w:themeFillShade="D9"/>
              <w:rPr>
                <w:rFonts w:eastAsia="Calibri"/>
                <w:b/>
                <w:sz w:val="24"/>
                <w:szCs w:val="24"/>
                <w:lang w:eastAsia="en-US"/>
              </w:rPr>
            </w:pPr>
            <w:r w:rsidRPr="00DE6BFC">
              <w:rPr>
                <w:rFonts w:eastAsia="Calibri"/>
                <w:b/>
                <w:sz w:val="24"/>
                <w:szCs w:val="24"/>
                <w:lang w:eastAsia="en-US"/>
              </w:rPr>
              <w:t>Важно:</w:t>
            </w:r>
          </w:p>
          <w:p w:rsidR="00D449BE" w:rsidRPr="00DE6BFC" w:rsidRDefault="00D449BE" w:rsidP="00D449BE">
            <w:pPr>
              <w:shd w:val="clear" w:color="auto" w:fill="D9D9D9" w:themeFill="background1" w:themeFillShade="D9"/>
              <w:rPr>
                <w:sz w:val="24"/>
                <w:szCs w:val="24"/>
              </w:rPr>
            </w:pPr>
            <w:r w:rsidRPr="00DE6B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46" w:name="_Toc479577174"/>
      <w:bookmarkStart w:id="47"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46"/>
      <w:bookmarkEnd w:id="47"/>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 xml:space="preserve">Ще се прилага процедура на подбор на проекти с </w:t>
            </w:r>
            <w:r w:rsidR="004B454A">
              <w:rPr>
                <w:sz w:val="24"/>
                <w:szCs w:val="24"/>
              </w:rPr>
              <w:t>един</w:t>
            </w:r>
            <w:r w:rsidRPr="0085327A">
              <w:rPr>
                <w:sz w:val="24"/>
                <w:szCs w:val="24"/>
              </w:rPr>
              <w:t xml:space="preserve"> кра</w:t>
            </w:r>
            <w:r w:rsidR="004B454A">
              <w:rPr>
                <w:sz w:val="24"/>
                <w:szCs w:val="24"/>
              </w:rPr>
              <w:t>ен</w:t>
            </w:r>
            <w:r w:rsidR="0045250C">
              <w:rPr>
                <w:sz w:val="24"/>
                <w:szCs w:val="24"/>
              </w:rPr>
              <w:t xml:space="preserve"> срок за кандидатстване.</w:t>
            </w:r>
          </w:p>
          <w:p w:rsidR="002B72C9" w:rsidRDefault="002B72C9" w:rsidP="00864F7C">
            <w:pPr>
              <w:ind w:left="22"/>
              <w:rPr>
                <w:sz w:val="24"/>
                <w:szCs w:val="24"/>
              </w:rPr>
            </w:pPr>
            <w:r w:rsidRPr="002B72C9">
              <w:rPr>
                <w:sz w:val="24"/>
                <w:szCs w:val="24"/>
              </w:rPr>
              <w:t>Началният срок за подаване на проектни предложения е 0</w:t>
            </w:r>
            <w:r w:rsidR="00CC07F0">
              <w:rPr>
                <w:sz w:val="24"/>
                <w:szCs w:val="24"/>
                <w:lang w:val="en-GB"/>
              </w:rPr>
              <w:t>2</w:t>
            </w:r>
            <w:r w:rsidRPr="002B72C9">
              <w:rPr>
                <w:sz w:val="24"/>
                <w:szCs w:val="24"/>
              </w:rPr>
              <w:t>.</w:t>
            </w:r>
            <w:r w:rsidR="00143F3C">
              <w:rPr>
                <w:sz w:val="24"/>
                <w:szCs w:val="24"/>
              </w:rPr>
              <w:t>03</w:t>
            </w:r>
            <w:r w:rsidRPr="002B72C9">
              <w:rPr>
                <w:sz w:val="24"/>
                <w:szCs w:val="24"/>
              </w:rPr>
              <w:t>.202</w:t>
            </w:r>
            <w:r w:rsidR="00813D2A">
              <w:rPr>
                <w:sz w:val="24"/>
                <w:szCs w:val="24"/>
              </w:rPr>
              <w:t>2</w:t>
            </w:r>
            <w:r w:rsidRPr="002B72C9">
              <w:rPr>
                <w:sz w:val="24"/>
                <w:szCs w:val="24"/>
              </w:rPr>
              <w:t>г.</w:t>
            </w:r>
          </w:p>
          <w:p w:rsidR="00A610C3" w:rsidRPr="001F2731" w:rsidRDefault="004B454A" w:rsidP="00EA7685">
            <w:pPr>
              <w:ind w:left="22"/>
              <w:rPr>
                <w:sz w:val="24"/>
                <w:szCs w:val="24"/>
              </w:rPr>
            </w:pPr>
            <w:r>
              <w:rPr>
                <w:sz w:val="24"/>
                <w:szCs w:val="24"/>
              </w:rPr>
              <w:t xml:space="preserve">Крайният </w:t>
            </w:r>
            <w:r w:rsidR="00B94B63" w:rsidRPr="0085327A">
              <w:rPr>
                <w:sz w:val="24"/>
                <w:szCs w:val="24"/>
              </w:rPr>
              <w:t xml:space="preserve">срок за подаване на проектните предложения </w:t>
            </w:r>
            <w:r w:rsidR="00B94B63" w:rsidRPr="00DE6BFC">
              <w:rPr>
                <w:sz w:val="24"/>
                <w:szCs w:val="24"/>
              </w:rPr>
              <w:t xml:space="preserve">е </w:t>
            </w:r>
            <w:r w:rsidR="00EA7685">
              <w:rPr>
                <w:sz w:val="24"/>
                <w:szCs w:val="24"/>
                <w:lang w:val="en-GB"/>
              </w:rPr>
              <w:t>28</w:t>
            </w:r>
            <w:r w:rsidRPr="001F2731">
              <w:rPr>
                <w:sz w:val="24"/>
                <w:szCs w:val="24"/>
              </w:rPr>
              <w:t>.</w:t>
            </w:r>
            <w:r w:rsidR="006A6AD9" w:rsidRPr="001F2731">
              <w:rPr>
                <w:sz w:val="24"/>
                <w:szCs w:val="24"/>
              </w:rPr>
              <w:t>04</w:t>
            </w:r>
            <w:r w:rsidR="00B94B63" w:rsidRPr="00DE6BFC">
              <w:rPr>
                <w:sz w:val="24"/>
                <w:szCs w:val="24"/>
              </w:rPr>
              <w:t>.</w:t>
            </w:r>
            <w:r w:rsidR="00202009" w:rsidRPr="00DE6BFC">
              <w:rPr>
                <w:sz w:val="24"/>
                <w:szCs w:val="24"/>
              </w:rPr>
              <w:t>202</w:t>
            </w:r>
            <w:r w:rsidR="00813D2A">
              <w:rPr>
                <w:sz w:val="24"/>
                <w:szCs w:val="24"/>
              </w:rPr>
              <w:t>2</w:t>
            </w:r>
            <w:r w:rsidR="00202009" w:rsidRPr="00DE6BFC">
              <w:rPr>
                <w:sz w:val="24"/>
                <w:szCs w:val="24"/>
              </w:rPr>
              <w:t>г</w:t>
            </w:r>
            <w:r w:rsidR="00B94B63" w:rsidRPr="00DE6BFC">
              <w:rPr>
                <w:sz w:val="24"/>
                <w:szCs w:val="24"/>
              </w:rPr>
              <w:t>. 17</w:t>
            </w:r>
            <w:r w:rsidR="00B94B63" w:rsidRPr="0085327A">
              <w:rPr>
                <w:sz w:val="24"/>
                <w:szCs w:val="24"/>
              </w:rPr>
              <w:t>.00 часа.</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48" w:name="_Toc479577175"/>
      <w:bookmarkStart w:id="49"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48"/>
      <w:bookmarkEnd w:id="49"/>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B94B63" w:rsidRPr="004D4E34" w:rsidRDefault="00B94B63" w:rsidP="00EB480B">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2"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p w:rsidR="006A09C2" w:rsidRPr="004D4E34" w:rsidRDefault="006A09C2" w:rsidP="00EB480B">
                  <w:pPr>
                    <w:tabs>
                      <w:tab w:val="left" w:pos="9741"/>
                    </w:tabs>
                    <w:spacing w:line="240" w:lineRule="auto"/>
                    <w:ind w:left="459"/>
                    <w:jc w:val="left"/>
                    <w:rPr>
                      <w:sz w:val="24"/>
                      <w:szCs w:val="24"/>
                    </w:rPr>
                  </w:pP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0" w:name="_Toc479577176"/>
      <w:bookmarkStart w:id="51" w:name="_Toc508719528"/>
      <w:r w:rsidRPr="00EB480B">
        <w:rPr>
          <w:rFonts w:ascii="Times New Roman" w:hAnsi="Times New Roman" w:cs="Times New Roman"/>
          <w:color w:val="auto"/>
          <w:sz w:val="24"/>
          <w:szCs w:val="24"/>
        </w:rPr>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0"/>
      <w:bookmarkEnd w:id="51"/>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proofErr w:type="spellStart"/>
            <w:r w:rsidRPr="009B6356">
              <w:rPr>
                <w:b/>
                <w:sz w:val="24"/>
                <w:szCs w:val="24"/>
                <w:lang w:val="en-US"/>
              </w:rPr>
              <w:t>leader_maritsa</w:t>
            </w:r>
            <w:proofErr w:type="spellEnd"/>
            <w:r w:rsidRPr="009B6356">
              <w:rPr>
                <w:b/>
                <w:sz w:val="24"/>
                <w:szCs w:val="24"/>
              </w:rPr>
              <w:t>@</w:t>
            </w:r>
            <w:proofErr w:type="spellStart"/>
            <w:r w:rsidRPr="009B6356">
              <w:rPr>
                <w:b/>
                <w:sz w:val="24"/>
                <w:szCs w:val="24"/>
                <w:lang w:val="en-US"/>
              </w:rPr>
              <w:t>abv</w:t>
            </w:r>
            <w:proofErr w:type="spellEnd"/>
            <w:r w:rsidRPr="009B6356">
              <w:rPr>
                <w:b/>
                <w:sz w:val="24"/>
                <w:szCs w:val="24"/>
              </w:rPr>
              <w:t>.</w:t>
            </w:r>
            <w:proofErr w:type="spellStart"/>
            <w:r w:rsidRPr="009B6356">
              <w:rPr>
                <w:b/>
                <w:sz w:val="24"/>
                <w:szCs w:val="24"/>
                <w:lang w:val="en-US"/>
              </w:rPr>
              <w:t>bg</w:t>
            </w:r>
            <w:proofErr w:type="spellEnd"/>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прием</w:t>
            </w:r>
            <w:r w:rsidR="00202009">
              <w:rPr>
                <w:sz w:val="24"/>
                <w:szCs w:val="24"/>
              </w:rPr>
              <w:t>а</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прием</w:t>
            </w:r>
            <w:r w:rsidR="00202009">
              <w:rPr>
                <w:sz w:val="24"/>
                <w:szCs w:val="24"/>
              </w:rPr>
              <w:t>а</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 xml:space="preserve">С оглед осигуряване </w:t>
            </w:r>
            <w:proofErr w:type="spellStart"/>
            <w:r w:rsidRPr="009B6356">
              <w:rPr>
                <w:sz w:val="24"/>
                <w:szCs w:val="24"/>
              </w:rPr>
              <w:t>равнопоставено</w:t>
            </w:r>
            <w:proofErr w:type="spellEnd"/>
            <w:r w:rsidRPr="009B6356">
              <w:rPr>
                <w:sz w:val="24"/>
                <w:szCs w:val="24"/>
              </w:rPr>
              <w:t xml:space="preserve"> третиране на кандидатите, МИГ – </w:t>
            </w:r>
            <w:r w:rsidR="00D03420" w:rsidRPr="001F2731">
              <w:rPr>
                <w:sz w:val="24"/>
                <w:szCs w:val="24"/>
              </w:rPr>
              <w:t>община</w:t>
            </w:r>
            <w:r w:rsidR="00D03420" w:rsidRPr="009B6356">
              <w:rPr>
                <w:sz w:val="24"/>
                <w:szCs w:val="24"/>
              </w:rPr>
              <w:t xml:space="preserve"> </w:t>
            </w:r>
            <w:r w:rsidRPr="009B6356">
              <w:rPr>
                <w:sz w:val="24"/>
                <w:szCs w:val="24"/>
              </w:rPr>
              <w:t>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w:t>
            </w:r>
            <w:r w:rsidR="00D03420" w:rsidRPr="001F2731">
              <w:rPr>
                <w:sz w:val="24"/>
                <w:szCs w:val="24"/>
              </w:rPr>
              <w:t>община</w:t>
            </w:r>
            <w:r w:rsidR="00D03420" w:rsidRPr="009B6356">
              <w:rPr>
                <w:sz w:val="24"/>
                <w:szCs w:val="24"/>
              </w:rPr>
              <w:t xml:space="preserve"> </w:t>
            </w:r>
            <w:r w:rsidRPr="009B6356">
              <w:rPr>
                <w:sz w:val="24"/>
                <w:szCs w:val="24"/>
              </w:rPr>
              <w:t xml:space="preserve">Марица : </w:t>
            </w:r>
            <w:hyperlink r:id="rId13"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предложение:</w:t>
            </w:r>
          </w:p>
          <w:p w:rsidR="009B6356" w:rsidRPr="009B6356" w:rsidRDefault="009B6356" w:rsidP="00CC1D40">
            <w:pPr>
              <w:widowControl w:val="0"/>
              <w:numPr>
                <w:ilvl w:val="0"/>
                <w:numId w:val="39"/>
              </w:numPr>
              <w:autoSpaceDE w:val="0"/>
              <w:autoSpaceDN w:val="0"/>
              <w:adjustRightInd w:val="0"/>
              <w:spacing w:line="240" w:lineRule="auto"/>
              <w:ind w:left="0" w:firstLine="284"/>
              <w:contextualSpacing/>
              <w:jc w:val="left"/>
              <w:rPr>
                <w:sz w:val="24"/>
                <w:szCs w:val="24"/>
              </w:rPr>
            </w:pPr>
            <w:r w:rsidRPr="009B6356">
              <w:rPr>
                <w:bCs/>
                <w:sz w:val="24"/>
                <w:szCs w:val="24"/>
              </w:rPr>
              <w:t>Информация по чл. 46, ал.6 от Наредба №22 от 14.12.2015г.</w:t>
            </w:r>
          </w:p>
          <w:p w:rsidR="00F2672E" w:rsidRPr="00CC1D40" w:rsidRDefault="009B6356" w:rsidP="00CC1D40">
            <w:pPr>
              <w:pStyle w:val="a4"/>
              <w:numPr>
                <w:ilvl w:val="0"/>
                <w:numId w:val="39"/>
              </w:numPr>
              <w:ind w:left="0" w:firstLine="284"/>
              <w:rPr>
                <w:sz w:val="24"/>
                <w:szCs w:val="24"/>
              </w:rPr>
            </w:pPr>
            <w:r w:rsidRPr="00CC1D40">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2" w:name="_Toc479577177"/>
      <w:bookmarkStart w:id="53" w:name="_Toc508719529"/>
      <w:r>
        <w:rPr>
          <w:rFonts w:ascii="Times New Roman" w:hAnsi="Times New Roman" w:cs="Times New Roman"/>
          <w:color w:val="auto"/>
          <w:sz w:val="24"/>
          <w:szCs w:val="24"/>
        </w:rPr>
        <w:t>28.</w:t>
      </w:r>
      <w:r w:rsidR="00F2672E" w:rsidRPr="006A09C2">
        <w:rPr>
          <w:rFonts w:ascii="Times New Roman" w:hAnsi="Times New Roman" w:cs="Times New Roman"/>
          <w:color w:val="auto"/>
          <w:sz w:val="24"/>
          <w:szCs w:val="24"/>
        </w:rPr>
        <w:t>Приложения към Условията за кандидатстване :</w:t>
      </w:r>
      <w:bookmarkEnd w:id="52"/>
      <w:bookmarkEnd w:id="53"/>
    </w:p>
    <w:tbl>
      <w:tblPr>
        <w:tblStyle w:val="a3"/>
        <w:tblW w:w="0" w:type="auto"/>
        <w:tblLook w:val="04A0" w:firstRow="1" w:lastRow="0" w:firstColumn="1" w:lastColumn="0" w:noHBand="0" w:noVBand="1"/>
      </w:tblPr>
      <w:tblGrid>
        <w:gridCol w:w="9288"/>
      </w:tblGrid>
      <w:tr w:rsidR="00F2672E" w:rsidTr="00E7062E">
        <w:tc>
          <w:tcPr>
            <w:tcW w:w="9770" w:type="dxa"/>
          </w:tcPr>
          <w:p w:rsidR="007A27FA" w:rsidRPr="00DE6BFC" w:rsidRDefault="007A27FA" w:rsidP="007A27FA">
            <w:pPr>
              <w:shd w:val="clear" w:color="auto" w:fill="FFFFFF"/>
              <w:spacing w:line="240" w:lineRule="auto"/>
              <w:rPr>
                <w:sz w:val="24"/>
                <w:szCs w:val="24"/>
              </w:rPr>
            </w:pPr>
            <w:r w:rsidRPr="00DE6BFC">
              <w:rPr>
                <w:sz w:val="24"/>
                <w:szCs w:val="24"/>
              </w:rPr>
              <w:t xml:space="preserve">Приложение 1 Декларация </w:t>
            </w:r>
            <w:r w:rsidR="00BE2087">
              <w:rPr>
                <w:sz w:val="24"/>
                <w:szCs w:val="24"/>
              </w:rPr>
              <w:t xml:space="preserve"> за липса на основания за отстраняване</w:t>
            </w:r>
          </w:p>
          <w:p w:rsidR="00A172CD" w:rsidRPr="00DE6BFC" w:rsidRDefault="00A172CD" w:rsidP="007A27FA">
            <w:pPr>
              <w:shd w:val="clear" w:color="auto" w:fill="FFFFFF"/>
              <w:spacing w:line="240" w:lineRule="auto"/>
              <w:rPr>
                <w:sz w:val="24"/>
                <w:szCs w:val="24"/>
              </w:rPr>
            </w:pPr>
            <w:r w:rsidRPr="00DE6BFC">
              <w:rPr>
                <w:sz w:val="24"/>
                <w:szCs w:val="24"/>
              </w:rPr>
              <w:t>Приложение 2 Декларация за свързаност от кандидати, които не са публични органи</w:t>
            </w:r>
          </w:p>
          <w:p w:rsidR="007A27FA" w:rsidRPr="00DE6BFC"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DE6BFC">
              <w:rPr>
                <w:sz w:val="24"/>
                <w:szCs w:val="24"/>
              </w:rPr>
              <w:lastRenderedPageBreak/>
              <w:t xml:space="preserve">Приложение </w:t>
            </w:r>
            <w:r w:rsidR="00A172CD" w:rsidRPr="00DE6BFC">
              <w:rPr>
                <w:sz w:val="24"/>
                <w:szCs w:val="24"/>
              </w:rPr>
              <w:t>3</w:t>
            </w:r>
            <w:r w:rsidRPr="00DE6BFC">
              <w:rPr>
                <w:sz w:val="24"/>
                <w:szCs w:val="24"/>
              </w:rPr>
              <w:t xml:space="preserve"> Декларация за </w:t>
            </w:r>
            <w:r w:rsidR="00C017B5" w:rsidRPr="00DE6BFC">
              <w:rPr>
                <w:sz w:val="24"/>
                <w:szCs w:val="24"/>
              </w:rPr>
              <w:t>липса на изкуствено създадени условия</w:t>
            </w:r>
          </w:p>
          <w:p w:rsidR="007A27FA" w:rsidRPr="00DE6BFC" w:rsidRDefault="007A27FA" w:rsidP="007A27FA">
            <w:pPr>
              <w:widowControl w:val="0"/>
              <w:tabs>
                <w:tab w:val="left" w:pos="3735"/>
              </w:tabs>
              <w:autoSpaceDE w:val="0"/>
              <w:autoSpaceDN w:val="0"/>
              <w:adjustRightInd w:val="0"/>
              <w:spacing w:line="240" w:lineRule="auto"/>
              <w:contextualSpacing/>
              <w:jc w:val="left"/>
              <w:rPr>
                <w:sz w:val="24"/>
                <w:szCs w:val="24"/>
              </w:rPr>
            </w:pPr>
            <w:r w:rsidRPr="00DE6BFC">
              <w:rPr>
                <w:sz w:val="24"/>
                <w:szCs w:val="24"/>
              </w:rPr>
              <w:t xml:space="preserve">Приложение </w:t>
            </w:r>
            <w:r w:rsidR="00A172CD" w:rsidRPr="00DE6BFC">
              <w:rPr>
                <w:sz w:val="24"/>
                <w:szCs w:val="24"/>
              </w:rPr>
              <w:t>4</w:t>
            </w:r>
            <w:r w:rsidRPr="00DE6BFC">
              <w:rPr>
                <w:sz w:val="24"/>
                <w:szCs w:val="24"/>
              </w:rPr>
              <w:t xml:space="preserve"> Критерии за административно съответствие и допустимост на  проектни предложения</w:t>
            </w:r>
          </w:p>
          <w:p w:rsidR="007A27FA" w:rsidRPr="00DE6BFC" w:rsidRDefault="007A27FA" w:rsidP="007A27FA">
            <w:pPr>
              <w:widowControl w:val="0"/>
              <w:tabs>
                <w:tab w:val="left" w:pos="3735"/>
              </w:tabs>
              <w:autoSpaceDE w:val="0"/>
              <w:autoSpaceDN w:val="0"/>
              <w:adjustRightInd w:val="0"/>
              <w:spacing w:line="240" w:lineRule="auto"/>
              <w:contextualSpacing/>
              <w:jc w:val="left"/>
              <w:rPr>
                <w:sz w:val="24"/>
                <w:szCs w:val="24"/>
              </w:rPr>
            </w:pPr>
            <w:r w:rsidRPr="00DE6BFC">
              <w:rPr>
                <w:sz w:val="24"/>
                <w:szCs w:val="24"/>
              </w:rPr>
              <w:t xml:space="preserve">Приложение </w:t>
            </w:r>
            <w:r w:rsidR="00A172CD" w:rsidRPr="00DE6BFC">
              <w:rPr>
                <w:sz w:val="24"/>
                <w:szCs w:val="24"/>
              </w:rPr>
              <w:t>5</w:t>
            </w:r>
            <w:r w:rsidRPr="00DE6BFC">
              <w:rPr>
                <w:sz w:val="24"/>
                <w:szCs w:val="24"/>
              </w:rPr>
              <w:t xml:space="preserve"> - Критерии за Техническа и финансова оценка на  проектни предложения</w:t>
            </w:r>
          </w:p>
          <w:p w:rsid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DE6BFC">
              <w:rPr>
                <w:sz w:val="24"/>
                <w:szCs w:val="24"/>
              </w:rPr>
              <w:t xml:space="preserve">Приложение </w:t>
            </w:r>
            <w:r w:rsidR="00A172CD" w:rsidRPr="00DE6BFC">
              <w:rPr>
                <w:sz w:val="24"/>
                <w:szCs w:val="24"/>
              </w:rPr>
              <w:t>6</w:t>
            </w:r>
            <w:r w:rsidRPr="00DE6BFC">
              <w:rPr>
                <w:sz w:val="24"/>
                <w:szCs w:val="24"/>
              </w:rPr>
              <w:t xml:space="preserve"> Декларация по чл.47, ал.2, т.2 от Наредба №22</w:t>
            </w:r>
          </w:p>
          <w:p w:rsidR="008866E9" w:rsidRPr="00DE6BFC" w:rsidRDefault="008866E9" w:rsidP="007A27FA">
            <w:pPr>
              <w:widowControl w:val="0"/>
              <w:shd w:val="clear" w:color="auto" w:fill="FFFFFF"/>
              <w:tabs>
                <w:tab w:val="left" w:pos="3735"/>
              </w:tabs>
              <w:autoSpaceDE w:val="0"/>
              <w:autoSpaceDN w:val="0"/>
              <w:adjustRightInd w:val="0"/>
              <w:spacing w:line="240" w:lineRule="auto"/>
              <w:contextualSpacing/>
              <w:rPr>
                <w:sz w:val="24"/>
                <w:szCs w:val="24"/>
              </w:rPr>
            </w:pPr>
            <w:r w:rsidRPr="008866E9">
              <w:rPr>
                <w:sz w:val="24"/>
                <w:szCs w:val="24"/>
              </w:rPr>
              <w:t xml:space="preserve">Приложение </w:t>
            </w:r>
            <w:r>
              <w:rPr>
                <w:sz w:val="24"/>
                <w:szCs w:val="24"/>
              </w:rPr>
              <w:t>7</w:t>
            </w:r>
            <w:r w:rsidRPr="008866E9">
              <w:rPr>
                <w:sz w:val="24"/>
                <w:szCs w:val="24"/>
              </w:rPr>
              <w:t xml:space="preserve"> </w:t>
            </w:r>
            <w:r>
              <w:rPr>
                <w:sz w:val="24"/>
                <w:szCs w:val="24"/>
              </w:rPr>
              <w:t>Запитване за оферта</w:t>
            </w:r>
          </w:p>
          <w:p w:rsidR="00CA0F29" w:rsidRPr="00DE6BFC"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DE6BFC">
              <w:rPr>
                <w:sz w:val="24"/>
                <w:szCs w:val="24"/>
              </w:rPr>
              <w:t xml:space="preserve">Приложение </w:t>
            </w:r>
            <w:r w:rsidR="008866E9">
              <w:rPr>
                <w:sz w:val="24"/>
                <w:szCs w:val="24"/>
              </w:rPr>
              <w:t>8</w:t>
            </w:r>
            <w:r w:rsidR="008866E9" w:rsidRPr="00DE6BFC">
              <w:rPr>
                <w:sz w:val="24"/>
                <w:szCs w:val="24"/>
              </w:rPr>
              <w:t xml:space="preserve"> </w:t>
            </w:r>
            <w:r w:rsidRPr="00DE6BFC">
              <w:rPr>
                <w:sz w:val="24"/>
                <w:szCs w:val="24"/>
              </w:rPr>
              <w:t>Формуляр за мониторинг съгласно Приложение № 13 от Наредба 22</w:t>
            </w:r>
          </w:p>
          <w:p w:rsidR="00FA70CA" w:rsidRPr="00DE6BFC" w:rsidRDefault="00FA70CA" w:rsidP="008866E9">
            <w:pPr>
              <w:widowControl w:val="0"/>
              <w:shd w:val="clear" w:color="auto" w:fill="FFFFFF"/>
              <w:tabs>
                <w:tab w:val="left" w:pos="3735"/>
              </w:tabs>
              <w:autoSpaceDE w:val="0"/>
              <w:autoSpaceDN w:val="0"/>
              <w:adjustRightInd w:val="0"/>
              <w:spacing w:line="240" w:lineRule="auto"/>
              <w:contextualSpacing/>
              <w:rPr>
                <w:sz w:val="24"/>
                <w:szCs w:val="24"/>
              </w:rPr>
            </w:pPr>
            <w:r w:rsidRPr="00DE6BFC">
              <w:rPr>
                <w:sz w:val="24"/>
                <w:szCs w:val="24"/>
              </w:rPr>
              <w:t xml:space="preserve">Приложение </w:t>
            </w:r>
            <w:r w:rsidR="008866E9">
              <w:rPr>
                <w:sz w:val="24"/>
                <w:szCs w:val="24"/>
              </w:rPr>
              <w:t>9</w:t>
            </w:r>
            <w:r w:rsidR="008866E9" w:rsidRPr="00DE6BFC">
              <w:rPr>
                <w:sz w:val="24"/>
                <w:szCs w:val="24"/>
              </w:rPr>
              <w:t xml:space="preserve"> </w:t>
            </w:r>
            <w:r w:rsidRPr="00DE6BFC">
              <w:rPr>
                <w:sz w:val="24"/>
                <w:szCs w:val="24"/>
              </w:rPr>
              <w:t>Декларация по чл.36, ал.1, т.2 от Наредба №22</w:t>
            </w:r>
          </w:p>
        </w:tc>
      </w:tr>
    </w:tbl>
    <w:p w:rsidR="00F2672E" w:rsidRDefault="00F2672E" w:rsidP="0079383B">
      <w:pPr>
        <w:rPr>
          <w:sz w:val="24"/>
          <w:szCs w:val="24"/>
        </w:rPr>
      </w:pPr>
    </w:p>
    <w:p w:rsidR="00C93A41" w:rsidRDefault="00C93A41" w:rsidP="00DD31D1">
      <w:pPr>
        <w:rPr>
          <w:b/>
          <w:sz w:val="24"/>
          <w:szCs w:val="24"/>
        </w:rPr>
      </w:pPr>
    </w:p>
    <w:p w:rsidR="00974CC2" w:rsidRDefault="00974CC2" w:rsidP="00DD31D1">
      <w:pPr>
        <w:rPr>
          <w:b/>
          <w:sz w:val="24"/>
          <w:szCs w:val="24"/>
          <w:lang w:val="en-GB"/>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rPr>
          <w:trHeight w:val="2937"/>
        </w:trPr>
        <w:tc>
          <w:tcPr>
            <w:tcW w:w="3652" w:type="dxa"/>
            <w:shd w:val="clear" w:color="auto" w:fill="auto"/>
          </w:tcPr>
          <w:p w:rsidR="00DD31D1" w:rsidRPr="00BA544F" w:rsidRDefault="001F2731" w:rsidP="00DD31D1">
            <w:pPr>
              <w:rPr>
                <w:sz w:val="24"/>
                <w:szCs w:val="24"/>
              </w:rPr>
            </w:pPr>
            <w:r>
              <w:rPr>
                <w:sz w:val="24"/>
                <w:szCs w:val="24"/>
              </w:rPr>
              <w:t>Генериращ нетни приходи проект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w:t>
            </w:r>
            <w:r w:rsidR="00E356A0">
              <w:rPr>
                <w:rFonts w:eastAsia="Calibri"/>
                <w:sz w:val="24"/>
                <w:szCs w:val="24"/>
              </w:rPr>
              <w:t xml:space="preserve">парични потоци, </w:t>
            </w:r>
            <w:r w:rsidRPr="00BA544F">
              <w:rPr>
                <w:rFonts w:eastAsia="Calibri"/>
                <w:sz w:val="24"/>
                <w:szCs w:val="24"/>
              </w:rPr>
              <w:t>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w:t>
            </w:r>
            <w:r w:rsidR="00E356A0">
              <w:rPr>
                <w:rFonts w:eastAsia="Calibri"/>
                <w:sz w:val="24"/>
                <w:szCs w:val="24"/>
              </w:rPr>
              <w:t xml:space="preserve"> или плащанията за услуги минус </w:t>
            </w: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1F2731" w:rsidP="00DD31D1">
            <w:pPr>
              <w:rPr>
                <w:sz w:val="24"/>
                <w:szCs w:val="24"/>
              </w:rPr>
            </w:pPr>
            <w:r>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1F2731" w:rsidP="00DD31D1">
            <w:pPr>
              <w:rPr>
                <w:sz w:val="24"/>
                <w:szCs w:val="24"/>
              </w:rPr>
            </w:pPr>
            <w:r>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1F2731" w:rsidP="00DD31D1">
            <w:pPr>
              <w:rPr>
                <w:rFonts w:eastAsia="Calibri"/>
                <w:sz w:val="24"/>
                <w:szCs w:val="24"/>
              </w:rPr>
            </w:pPr>
            <w:r>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за строителството на обекта/</w:t>
            </w:r>
            <w:proofErr w:type="spellStart"/>
            <w:r w:rsidRPr="00BA544F">
              <w:rPr>
                <w:rFonts w:eastAsia="Calibri"/>
                <w:sz w:val="24"/>
                <w:szCs w:val="24"/>
              </w:rPr>
              <w:t>ите</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включени в проекта.</w:t>
            </w:r>
          </w:p>
        </w:tc>
      </w:tr>
      <w:tr w:rsidR="00DD31D1" w:rsidRPr="0049492D" w:rsidTr="00DD31D1">
        <w:tc>
          <w:tcPr>
            <w:tcW w:w="3652" w:type="dxa"/>
            <w:shd w:val="clear" w:color="auto" w:fill="auto"/>
          </w:tcPr>
          <w:p w:rsidR="00DD31D1" w:rsidRPr="0049492D" w:rsidRDefault="001F2731" w:rsidP="00DD31D1">
            <w:pPr>
              <w:autoSpaceDE w:val="0"/>
              <w:autoSpaceDN w:val="0"/>
              <w:adjustRightInd w:val="0"/>
              <w:spacing w:line="240" w:lineRule="auto"/>
              <w:jc w:val="left"/>
              <w:rPr>
                <w:rFonts w:eastAsia="Calibri"/>
                <w:sz w:val="24"/>
                <w:szCs w:val="24"/>
              </w:rPr>
            </w:pPr>
            <w:r>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 xml:space="preserve">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w:t>
            </w:r>
            <w:r w:rsidRPr="0049492D">
              <w:rPr>
                <w:rFonts w:eastAsia="Calibri"/>
                <w:sz w:val="24"/>
                <w:szCs w:val="24"/>
              </w:rPr>
              <w:lastRenderedPageBreak/>
              <w:t>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5328EE" w:rsidP="00DD31D1">
            <w:pPr>
              <w:autoSpaceDE w:val="0"/>
              <w:autoSpaceDN w:val="0"/>
              <w:adjustRightInd w:val="0"/>
              <w:spacing w:line="240" w:lineRule="auto"/>
              <w:jc w:val="left"/>
              <w:rPr>
                <w:rFonts w:eastAsia="Calibri"/>
                <w:sz w:val="24"/>
                <w:szCs w:val="24"/>
                <w:lang w:val="en-US"/>
              </w:rPr>
            </w:pPr>
            <w:r>
              <w:rPr>
                <w:rFonts w:eastAsia="Calibri"/>
                <w:sz w:val="24"/>
                <w:szCs w:val="24"/>
              </w:rPr>
              <w:lastRenderedPageBreak/>
              <w:t>Инфраструктура за отдих, туристическа инфраструктура</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5328EE" w:rsidRPr="00491661" w:rsidRDefault="005328EE" w:rsidP="00BA544F">
            <w:pPr>
              <w:autoSpaceDE w:val="0"/>
              <w:autoSpaceDN w:val="0"/>
              <w:adjustRightInd w:val="0"/>
              <w:spacing w:line="240" w:lineRule="auto"/>
              <w:rPr>
                <w:rFonts w:eastAsia="Calibri"/>
                <w:sz w:val="24"/>
                <w:szCs w:val="24"/>
              </w:rPr>
            </w:pPr>
            <w:r>
              <w:rPr>
                <w:rFonts w:eastAsia="Calibri"/>
                <w:sz w:val="24"/>
                <w:szCs w:val="24"/>
              </w:rPr>
              <w:t>Обществено достъпни площи/обекти/съоръжения, предназначени за пълноценно организиране и провеждане на свободно време/отдих/туризъм, изградени върху общинска собственост</w:t>
            </w:r>
            <w:r w:rsidR="00491661">
              <w:rPr>
                <w:rFonts w:eastAsia="Calibri"/>
                <w:sz w:val="24"/>
                <w:szCs w:val="24"/>
                <w:lang w:val="en-US"/>
              </w:rPr>
              <w:t xml:space="preserve"> (</w:t>
            </w:r>
            <w:r w:rsidR="00491661">
              <w:rPr>
                <w:rFonts w:eastAsia="Calibri"/>
                <w:sz w:val="24"/>
                <w:szCs w:val="24"/>
              </w:rPr>
              <w:t>в съответствие с изискванията на прилагания по процедурата режим на „непомощ“</w:t>
            </w:r>
            <w:r w:rsidR="00491661">
              <w:rPr>
                <w:rFonts w:eastAsia="Calibri"/>
                <w:sz w:val="24"/>
                <w:szCs w:val="24"/>
                <w:lang w:val="en-US"/>
              </w:rPr>
              <w:t>)</w:t>
            </w:r>
            <w:r w:rsidR="00491661">
              <w:rPr>
                <w:rFonts w:eastAsia="Calibri"/>
                <w:sz w:val="24"/>
                <w:szCs w:val="24"/>
              </w:rPr>
              <w:t xml:space="preserve"> – туристически центрове, </w:t>
            </w:r>
            <w:proofErr w:type="spellStart"/>
            <w:r w:rsidR="00491661">
              <w:rPr>
                <w:rFonts w:eastAsia="Calibri"/>
                <w:sz w:val="24"/>
                <w:szCs w:val="24"/>
              </w:rPr>
              <w:t>посетителски</w:t>
            </w:r>
            <w:proofErr w:type="spellEnd"/>
            <w:r w:rsidR="00491661">
              <w:rPr>
                <w:rFonts w:eastAsia="Calibri"/>
                <w:sz w:val="24"/>
                <w:szCs w:val="24"/>
              </w:rPr>
              <w:t xml:space="preserve"> центрове, </w:t>
            </w:r>
            <w:proofErr w:type="spellStart"/>
            <w:r w:rsidR="00491661">
              <w:rPr>
                <w:rFonts w:eastAsia="Calibri"/>
                <w:sz w:val="24"/>
                <w:szCs w:val="24"/>
              </w:rPr>
              <w:t>центрове</w:t>
            </w:r>
            <w:proofErr w:type="spellEnd"/>
            <w:r w:rsidR="00491661">
              <w:rPr>
                <w:rFonts w:eastAsia="Calibri"/>
                <w:sz w:val="24"/>
                <w:szCs w:val="24"/>
              </w:rPr>
              <w:t xml:space="preserve"> за изкуства и занаяти  с туристическа цел, природни/културни/туристически атракции, информационни табели, съоръжения за безопасност, пътепоказатели за туристически места и маршрути, </w:t>
            </w:r>
            <w:proofErr w:type="spellStart"/>
            <w:r w:rsidR="00491661">
              <w:rPr>
                <w:rFonts w:eastAsia="Calibri"/>
                <w:sz w:val="24"/>
                <w:szCs w:val="24"/>
              </w:rPr>
              <w:t>велоалеи</w:t>
            </w:r>
            <w:proofErr w:type="spellEnd"/>
            <w:r w:rsidR="00491661">
              <w:rPr>
                <w:rFonts w:eastAsia="Calibri"/>
                <w:sz w:val="24"/>
                <w:szCs w:val="24"/>
              </w:rPr>
              <w:t>, туристически пътеки.</w:t>
            </w:r>
          </w:p>
        </w:tc>
      </w:tr>
      <w:tr w:rsidR="00DD31D1" w:rsidRPr="0049492D" w:rsidTr="00DD31D1">
        <w:tc>
          <w:tcPr>
            <w:tcW w:w="3652" w:type="dxa"/>
            <w:shd w:val="clear" w:color="auto" w:fill="auto"/>
          </w:tcPr>
          <w:p w:rsidR="00DD31D1" w:rsidRPr="0049492D" w:rsidRDefault="001F2731" w:rsidP="00DD31D1">
            <w:pPr>
              <w:autoSpaceDE w:val="0"/>
              <w:autoSpaceDN w:val="0"/>
              <w:adjustRightInd w:val="0"/>
              <w:spacing w:line="240" w:lineRule="auto"/>
              <w:jc w:val="left"/>
              <w:rPr>
                <w:rFonts w:eastAsia="Calibri"/>
                <w:sz w:val="24"/>
                <w:szCs w:val="24"/>
              </w:rPr>
            </w:pPr>
            <w:r>
              <w:rPr>
                <w:rFonts w:eastAsia="Calibri"/>
                <w:sz w:val="24"/>
                <w:szCs w:val="24"/>
              </w:rPr>
              <w:t>Общински сгради</w:t>
            </w:r>
            <w:r w:rsidR="00DD31D1"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321484" w:rsidRPr="0049492D" w:rsidTr="00DD31D1">
        <w:tc>
          <w:tcPr>
            <w:tcW w:w="3652" w:type="dxa"/>
            <w:shd w:val="clear" w:color="auto" w:fill="auto"/>
          </w:tcPr>
          <w:p w:rsidR="00321484" w:rsidRPr="0049492D" w:rsidRDefault="00321484" w:rsidP="004E7686">
            <w:pPr>
              <w:autoSpaceDE w:val="0"/>
              <w:autoSpaceDN w:val="0"/>
              <w:adjustRightInd w:val="0"/>
              <w:spacing w:line="240" w:lineRule="auto"/>
              <w:jc w:val="left"/>
              <w:rPr>
                <w:rFonts w:eastAsia="Calibri"/>
                <w:sz w:val="24"/>
                <w:szCs w:val="24"/>
              </w:rPr>
            </w:pPr>
            <w:r>
              <w:rPr>
                <w:rFonts w:eastAsia="Calibri"/>
                <w:sz w:val="24"/>
                <w:szCs w:val="24"/>
              </w:rPr>
              <w:t>Оперативни разходи</w:t>
            </w:r>
          </w:p>
          <w:p w:rsidR="00321484" w:rsidRPr="0049492D" w:rsidRDefault="00321484" w:rsidP="004E7686">
            <w:pPr>
              <w:autoSpaceDE w:val="0"/>
              <w:autoSpaceDN w:val="0"/>
              <w:adjustRightInd w:val="0"/>
              <w:spacing w:line="240" w:lineRule="auto"/>
              <w:jc w:val="left"/>
              <w:rPr>
                <w:rFonts w:eastAsia="Calibri"/>
                <w:sz w:val="24"/>
                <w:szCs w:val="24"/>
              </w:rPr>
            </w:pPr>
          </w:p>
        </w:tc>
        <w:tc>
          <w:tcPr>
            <w:tcW w:w="6095" w:type="dxa"/>
            <w:shd w:val="clear" w:color="auto" w:fill="auto"/>
          </w:tcPr>
          <w:p w:rsidR="00321484" w:rsidRPr="0049492D" w:rsidRDefault="00321484" w:rsidP="00321484">
            <w:pPr>
              <w:autoSpaceDE w:val="0"/>
              <w:autoSpaceDN w:val="0"/>
              <w:adjustRightInd w:val="0"/>
              <w:spacing w:line="240" w:lineRule="auto"/>
              <w:rPr>
                <w:rFonts w:eastAsia="Calibri"/>
                <w:sz w:val="24"/>
                <w:szCs w:val="24"/>
              </w:rPr>
            </w:pPr>
            <w:r>
              <w:rPr>
                <w:rFonts w:eastAsia="Calibri"/>
                <w:sz w:val="24"/>
                <w:szCs w:val="24"/>
              </w:rPr>
              <w:t>Административните разходи и разходите, свързани с поддръжка, наеми, застраховка, текущ ремонт с поддръжка и експлоатация на активите</w:t>
            </w:r>
            <w:r w:rsidR="00E70924">
              <w:rPr>
                <w:rFonts w:eastAsia="Calibri"/>
                <w:sz w:val="24"/>
                <w:szCs w:val="24"/>
              </w:rPr>
              <w:t>.</w:t>
            </w:r>
          </w:p>
        </w:tc>
      </w:tr>
      <w:tr w:rsidR="00DD31D1" w:rsidRPr="0049492D" w:rsidTr="00DD31D1">
        <w:tc>
          <w:tcPr>
            <w:tcW w:w="3652" w:type="dxa"/>
            <w:shd w:val="clear" w:color="auto" w:fill="auto"/>
          </w:tcPr>
          <w:p w:rsidR="00DD31D1" w:rsidRPr="0049492D" w:rsidRDefault="001F2731" w:rsidP="00DD31D1">
            <w:pPr>
              <w:autoSpaceDE w:val="0"/>
              <w:autoSpaceDN w:val="0"/>
              <w:adjustRightInd w:val="0"/>
              <w:spacing w:line="240" w:lineRule="auto"/>
              <w:jc w:val="left"/>
              <w:rPr>
                <w:rFonts w:eastAsia="Calibri"/>
                <w:sz w:val="24"/>
                <w:szCs w:val="24"/>
              </w:rPr>
            </w:pPr>
            <w:r>
              <w:rPr>
                <w:rFonts w:eastAsia="Calibri"/>
                <w:sz w:val="24"/>
                <w:szCs w:val="24"/>
              </w:rPr>
              <w:t>Ползвател</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1F2731" w:rsidP="00DD31D1">
            <w:pPr>
              <w:autoSpaceDE w:val="0"/>
              <w:autoSpaceDN w:val="0"/>
              <w:adjustRightInd w:val="0"/>
              <w:spacing w:line="240" w:lineRule="auto"/>
              <w:jc w:val="left"/>
              <w:rPr>
                <w:rFonts w:eastAsia="Calibri"/>
                <w:sz w:val="24"/>
                <w:szCs w:val="24"/>
              </w:rPr>
            </w:pPr>
            <w:r>
              <w:rPr>
                <w:rFonts w:eastAsia="Calibri"/>
                <w:sz w:val="24"/>
                <w:szCs w:val="24"/>
              </w:rPr>
              <w:t>Проверка на място</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1F2731" w:rsidP="00DD31D1">
            <w:pPr>
              <w:autoSpaceDE w:val="0"/>
              <w:autoSpaceDN w:val="0"/>
              <w:adjustRightInd w:val="0"/>
              <w:spacing w:line="240" w:lineRule="auto"/>
              <w:jc w:val="left"/>
              <w:rPr>
                <w:rFonts w:eastAsia="Calibri"/>
                <w:sz w:val="24"/>
                <w:szCs w:val="24"/>
              </w:rPr>
            </w:pPr>
            <w:r>
              <w:rPr>
                <w:rFonts w:eastAsia="Calibri"/>
                <w:sz w:val="24"/>
                <w:szCs w:val="24"/>
              </w:rPr>
              <w:t>Проект</w:t>
            </w:r>
            <w:r w:rsidR="00DD31D1" w:rsidRPr="0049492D">
              <w:rPr>
                <w:rFonts w:eastAsia="Calibri"/>
                <w:sz w:val="24"/>
                <w:szCs w:val="24"/>
              </w:rPr>
              <w:t xml:space="preserve">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Разходи за консултантски услуги, свързани с под</w:t>
            </w:r>
            <w:r w:rsidR="001F2731">
              <w:rPr>
                <w:rFonts w:eastAsia="Calibri"/>
                <w:sz w:val="24"/>
                <w:szCs w:val="24"/>
              </w:rPr>
              <w:t>готовка и управление на проекта</w:t>
            </w:r>
            <w:r w:rsidRPr="00C477B5">
              <w:rPr>
                <w:rFonts w:eastAsia="Calibri"/>
                <w:sz w:val="24"/>
                <w:szCs w:val="24"/>
              </w:rPr>
              <w:t xml:space="preserve"> </w:t>
            </w:r>
          </w:p>
        </w:tc>
        <w:tc>
          <w:tcPr>
            <w:tcW w:w="6095" w:type="dxa"/>
            <w:shd w:val="clear" w:color="auto" w:fill="auto"/>
          </w:tcPr>
          <w:p w:rsidR="00DD31D1" w:rsidRPr="00C477B5" w:rsidRDefault="00DD31D1" w:rsidP="00E356A0">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подготовка на заявки за</w:t>
            </w:r>
            <w:r w:rsidR="00BA544F">
              <w:rPr>
                <w:rFonts w:eastAsia="Calibri"/>
                <w:sz w:val="24"/>
                <w:szCs w:val="24"/>
              </w:rPr>
              <w:t xml:space="preserve"> плащане, отчитане и управление</w:t>
            </w:r>
            <w:r w:rsidR="00D70DC4">
              <w:rPr>
                <w:rFonts w:eastAsia="Calibri"/>
                <w:sz w:val="24"/>
                <w:szCs w:val="24"/>
              </w:rPr>
              <w:t xml:space="preserve"> </w:t>
            </w:r>
            <w:r w:rsidRPr="00C477B5">
              <w:rPr>
                <w:rFonts w:eastAsia="Calibri"/>
                <w:sz w:val="24"/>
                <w:szCs w:val="24"/>
              </w:rPr>
              <w:t>на проекта.</w:t>
            </w:r>
          </w:p>
        </w:tc>
      </w:tr>
      <w:tr w:rsidR="00DD31D1" w:rsidRPr="00C477B5" w:rsidTr="00DD31D1">
        <w:tc>
          <w:tcPr>
            <w:tcW w:w="3652" w:type="dxa"/>
            <w:shd w:val="clear" w:color="auto" w:fill="auto"/>
          </w:tcPr>
          <w:p w:rsidR="00DD31D1" w:rsidRPr="00C477B5" w:rsidRDefault="001F2731" w:rsidP="00DD31D1">
            <w:pPr>
              <w:autoSpaceDE w:val="0"/>
              <w:autoSpaceDN w:val="0"/>
              <w:adjustRightInd w:val="0"/>
              <w:spacing w:line="240" w:lineRule="auto"/>
              <w:jc w:val="left"/>
              <w:rPr>
                <w:rFonts w:eastAsia="Calibri"/>
                <w:sz w:val="24"/>
                <w:szCs w:val="24"/>
              </w:rPr>
            </w:pPr>
            <w:r>
              <w:rPr>
                <w:rFonts w:eastAsia="Calibri"/>
                <w:sz w:val="24"/>
                <w:szCs w:val="24"/>
              </w:rPr>
              <w:t>Реставрация</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1F2731" w:rsidP="00DD31D1">
            <w:pPr>
              <w:autoSpaceDE w:val="0"/>
              <w:autoSpaceDN w:val="0"/>
              <w:adjustRightInd w:val="0"/>
              <w:spacing w:line="240" w:lineRule="auto"/>
              <w:jc w:val="left"/>
              <w:rPr>
                <w:rFonts w:eastAsia="Calibri"/>
                <w:sz w:val="24"/>
                <w:szCs w:val="24"/>
              </w:rPr>
            </w:pPr>
            <w:r>
              <w:rPr>
                <w:rFonts w:eastAsia="Calibri"/>
                <w:sz w:val="24"/>
                <w:szCs w:val="24"/>
              </w:rPr>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Рефе</w:t>
            </w:r>
            <w:r w:rsidR="001F2731">
              <w:rPr>
                <w:rFonts w:eastAsia="Calibri"/>
                <w:sz w:val="24"/>
                <w:szCs w:val="24"/>
              </w:rPr>
              <w:t>рентни разходи</w:t>
            </w:r>
            <w:r w:rsidRPr="00C477B5">
              <w:rPr>
                <w:rFonts w:eastAsia="Calibri"/>
                <w:sz w:val="24"/>
                <w:szCs w:val="24"/>
              </w:rPr>
              <w:t xml:space="preserve">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1F2731" w:rsidP="00DD31D1">
            <w:pPr>
              <w:autoSpaceDE w:val="0"/>
              <w:autoSpaceDN w:val="0"/>
              <w:adjustRightInd w:val="0"/>
              <w:spacing w:line="240" w:lineRule="auto"/>
              <w:jc w:val="left"/>
              <w:rPr>
                <w:rFonts w:eastAsia="Calibri"/>
                <w:sz w:val="24"/>
                <w:szCs w:val="24"/>
              </w:rPr>
            </w:pPr>
            <w:r>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Подобряването и поддържането в изправност на сградите, постройките, съоръженията и инсталациите, </w:t>
            </w:r>
            <w:r w:rsidRPr="00C477B5">
              <w:rPr>
                <w:rFonts w:eastAsia="Calibri"/>
                <w:sz w:val="24"/>
                <w:szCs w:val="24"/>
              </w:rPr>
              <w:lastRenderedPageBreak/>
              <w:t>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1F2731" w:rsidP="00DD31D1">
            <w:pPr>
              <w:autoSpaceDE w:val="0"/>
              <w:autoSpaceDN w:val="0"/>
              <w:adjustRightInd w:val="0"/>
              <w:spacing w:line="240" w:lineRule="auto"/>
              <w:jc w:val="left"/>
              <w:rPr>
                <w:rFonts w:eastAsia="Calibri"/>
                <w:sz w:val="24"/>
                <w:szCs w:val="24"/>
              </w:rPr>
            </w:pPr>
            <w:r>
              <w:rPr>
                <w:rFonts w:eastAsia="Calibri"/>
                <w:sz w:val="24"/>
                <w:szCs w:val="24"/>
              </w:rPr>
              <w:lastRenderedPageBreak/>
              <w:t>Терен</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1F2731" w:rsidP="00DD31D1">
            <w:pPr>
              <w:autoSpaceDE w:val="0"/>
              <w:autoSpaceDN w:val="0"/>
              <w:adjustRightInd w:val="0"/>
              <w:spacing w:line="240" w:lineRule="auto"/>
              <w:jc w:val="left"/>
              <w:rPr>
                <w:rFonts w:eastAsia="Calibri"/>
                <w:sz w:val="24"/>
                <w:szCs w:val="24"/>
              </w:rPr>
            </w:pPr>
            <w:r>
              <w:rPr>
                <w:rFonts w:eastAsia="Calibri"/>
                <w:sz w:val="24"/>
                <w:szCs w:val="24"/>
              </w:rPr>
              <w:t>Техническа спецификация</w:t>
            </w:r>
            <w:r w:rsidR="00DD31D1" w:rsidRPr="00C477B5">
              <w:rPr>
                <w:rFonts w:eastAsia="Calibri"/>
                <w:sz w:val="24"/>
                <w:szCs w:val="24"/>
              </w:rPr>
              <w:t xml:space="preserve">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Pr>
                <w:rFonts w:eastAsia="Calibri"/>
                <w:sz w:val="24"/>
                <w:szCs w:val="24"/>
              </w:rPr>
              <w:t>Уязвими групи</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DD31D1" w:rsidRPr="00A2297A" w:rsidRDefault="00DD31D1" w:rsidP="0079383B">
      <w:pPr>
        <w:rPr>
          <w:sz w:val="24"/>
          <w:szCs w:val="24"/>
        </w:rPr>
      </w:pPr>
    </w:p>
    <w:sectPr w:rsidR="00DD31D1" w:rsidRPr="00A2297A" w:rsidSect="00AE6C85">
      <w:headerReference w:type="even" r:id="rId14"/>
      <w:headerReference w:type="default" r:id="rId15"/>
      <w:footerReference w:type="even" r:id="rId16"/>
      <w:footerReference w:type="default" r:id="rId17"/>
      <w:headerReference w:type="first" r:id="rId18"/>
      <w:footerReference w:type="first" r:id="rId1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37" w:rsidRDefault="006F5337" w:rsidP="00F2672E">
      <w:pPr>
        <w:spacing w:line="240" w:lineRule="auto"/>
      </w:pPr>
      <w:r>
        <w:separator/>
      </w:r>
    </w:p>
  </w:endnote>
  <w:endnote w:type="continuationSeparator" w:id="0">
    <w:p w:rsidR="006F5337" w:rsidRDefault="006F5337"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A0" w:rsidRDefault="00DE12A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DE12A0" w:rsidRDefault="00DE12A0">
        <w:pPr>
          <w:pStyle w:val="af6"/>
          <w:jc w:val="center"/>
        </w:pPr>
        <w:r>
          <w:fldChar w:fldCharType="begin"/>
        </w:r>
        <w:r>
          <w:instrText>PAGE   \* MERGEFORMAT</w:instrText>
        </w:r>
        <w:r>
          <w:fldChar w:fldCharType="separate"/>
        </w:r>
        <w:r w:rsidR="00FB2AF2">
          <w:rPr>
            <w:noProof/>
          </w:rPr>
          <w:t>2</w:t>
        </w:r>
        <w:r>
          <w:fldChar w:fldCharType="end"/>
        </w:r>
      </w:p>
    </w:sdtContent>
  </w:sdt>
  <w:p w:rsidR="00DE12A0" w:rsidRDefault="00DE12A0">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A0" w:rsidRDefault="00DE12A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37" w:rsidRDefault="006F5337" w:rsidP="00F2672E">
      <w:pPr>
        <w:spacing w:line="240" w:lineRule="auto"/>
      </w:pPr>
      <w:r>
        <w:separator/>
      </w:r>
    </w:p>
  </w:footnote>
  <w:footnote w:type="continuationSeparator" w:id="0">
    <w:p w:rsidR="006F5337" w:rsidRDefault="006F5337" w:rsidP="00F2672E">
      <w:pPr>
        <w:spacing w:line="240" w:lineRule="auto"/>
      </w:pPr>
      <w:r>
        <w:continuationSeparator/>
      </w:r>
    </w:p>
  </w:footnote>
  <w:footnote w:id="1">
    <w:p w:rsidR="00DE12A0" w:rsidRDefault="00DE12A0"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A0" w:rsidRDefault="00DE12A0">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2301"/>
      <w:gridCol w:w="3036"/>
      <w:gridCol w:w="2406"/>
    </w:tblGrid>
    <w:tr w:rsidR="00DE12A0" w:rsidRPr="00ED314A" w:rsidTr="00ED314A">
      <w:trPr>
        <w:trHeight w:val="1388"/>
      </w:trPr>
      <w:tc>
        <w:tcPr>
          <w:tcW w:w="1121" w:type="pct"/>
          <w:tcBorders>
            <w:top w:val="single" w:sz="4" w:space="0" w:color="auto"/>
            <w:left w:val="single" w:sz="4" w:space="0" w:color="auto"/>
            <w:bottom w:val="single" w:sz="4" w:space="0" w:color="auto"/>
            <w:right w:val="single" w:sz="4" w:space="0" w:color="auto"/>
          </w:tcBorders>
          <w:vAlign w:val="center"/>
        </w:tcPr>
        <w:p w:rsidR="00DE12A0" w:rsidRPr="00ED314A" w:rsidRDefault="00DE12A0" w:rsidP="00ED314A"/>
        <w:p w:rsidR="00DE12A0" w:rsidRPr="00ED314A" w:rsidRDefault="00DE12A0" w:rsidP="00ED314A">
          <w:pPr>
            <w:jc w:val="center"/>
            <w:rPr>
              <w:lang w:val="x-none"/>
            </w:rPr>
          </w:pPr>
          <w:r w:rsidRPr="00ED314A">
            <w:rPr>
              <w:noProof/>
            </w:rPr>
            <w:drawing>
              <wp:inline distT="0" distB="0" distL="0" distR="0" wp14:anchorId="5C531925" wp14:editId="7AF888B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12A0" w:rsidRPr="00ED314A" w:rsidRDefault="00DE12A0" w:rsidP="00ED314A">
          <w:pPr>
            <w:jc w:val="center"/>
            <w:rPr>
              <w:lang w:val="x-none"/>
            </w:rPr>
          </w:pPr>
          <w:r w:rsidRPr="00ED314A">
            <w:rPr>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DE12A0" w:rsidRPr="00ED314A" w:rsidRDefault="00DE12A0" w:rsidP="00ED314A">
          <w:pPr>
            <w:rPr>
              <w:i/>
              <w:iCs/>
              <w:lang w:val="x-none"/>
            </w:rPr>
          </w:pPr>
        </w:p>
        <w:p w:rsidR="00DE12A0" w:rsidRPr="00ED314A" w:rsidRDefault="00DE12A0" w:rsidP="00ED314A">
          <w:pPr>
            <w:jc w:val="center"/>
            <w:rPr>
              <w:i/>
              <w:iCs/>
              <w:lang w:val="x-none"/>
            </w:rPr>
          </w:pPr>
          <w:r w:rsidRPr="00ED314A">
            <w:rPr>
              <w:noProof/>
            </w:rPr>
            <w:drawing>
              <wp:inline distT="0" distB="0" distL="0" distR="0" wp14:anchorId="2BA2B4DF" wp14:editId="1C018C61">
                <wp:extent cx="762000" cy="657225"/>
                <wp:effectExtent l="0" t="0" r="0" b="952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DE12A0" w:rsidRPr="00ED314A" w:rsidRDefault="00DE12A0" w:rsidP="00ED314A">
          <w:pPr>
            <w:jc w:val="center"/>
            <w:rPr>
              <w:lang w:val="x-none"/>
            </w:rPr>
          </w:pPr>
          <w:r w:rsidRPr="00ED314A">
            <w:rPr>
              <w:noProof/>
              <w:sz w:val="24"/>
            </w:rPr>
            <w:drawing>
              <wp:inline distT="0" distB="0" distL="0" distR="0" wp14:anchorId="02733604" wp14:editId="18EBE397">
                <wp:extent cx="1790700" cy="733425"/>
                <wp:effectExtent l="0" t="0" r="0" b="9525"/>
                <wp:docPr id="3" name="Картина 3" descr="Описание: 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Описание: 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DE12A0" w:rsidRPr="00ED314A" w:rsidRDefault="00DE12A0" w:rsidP="00ED314A">
          <w:pPr>
            <w:rPr>
              <w:lang w:val="x-none"/>
            </w:rPr>
          </w:pPr>
        </w:p>
        <w:p w:rsidR="00DE12A0" w:rsidRPr="00ED314A" w:rsidRDefault="00DE12A0" w:rsidP="00ED314A">
          <w:pPr>
            <w:jc w:val="center"/>
            <w:rPr>
              <w:lang w:val="x-none"/>
            </w:rPr>
          </w:pPr>
          <w:r w:rsidRPr="00ED314A">
            <w:rPr>
              <w:noProof/>
            </w:rPr>
            <w:drawing>
              <wp:inline distT="0" distB="0" distL="0" distR="0" wp14:anchorId="2C86CAD0" wp14:editId="4A1F4575">
                <wp:extent cx="1381125" cy="657225"/>
                <wp:effectExtent l="0" t="0" r="9525"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DE12A0" w:rsidRPr="00ED314A" w:rsidTr="00ED314A">
      <w:trPr>
        <w:trHeight w:val="2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E12A0" w:rsidRPr="00ED314A" w:rsidRDefault="00DE12A0" w:rsidP="00ED314A">
          <w:pPr>
            <w:jc w:val="center"/>
            <w:rPr>
              <w:iCs/>
            </w:rPr>
          </w:pPr>
          <w:r w:rsidRPr="00ED314A">
            <w:rPr>
              <w:b/>
              <w:iCs/>
              <w:spacing w:val="3"/>
              <w:sz w:val="24"/>
            </w:rPr>
            <w:t xml:space="preserve"> </w:t>
          </w:r>
          <w:r w:rsidRPr="00ED314A">
            <w:rPr>
              <w:iCs/>
            </w:rPr>
            <w:t>ЕВРОПЕЙСКИ ЗЕМЕДЕЛСКИ ФОНД ЗА РАЗВИТИЕ НА СЕЛСКИТЕ РАЙОНИ –</w:t>
          </w:r>
        </w:p>
        <w:p w:rsidR="00DE12A0" w:rsidRPr="00ED314A" w:rsidRDefault="00DE12A0" w:rsidP="00ED314A">
          <w:pPr>
            <w:jc w:val="center"/>
            <w:rPr>
              <w:iCs/>
            </w:rPr>
          </w:pPr>
          <w:r w:rsidRPr="00ED314A">
            <w:rPr>
              <w:iCs/>
            </w:rPr>
            <w:t xml:space="preserve">ЕВРОПА ИНВЕСТИРА В СЕЛСКИТЕ РАЙОНИ </w:t>
          </w:r>
        </w:p>
      </w:tc>
    </w:tr>
  </w:tbl>
  <w:p w:rsidR="00DE12A0" w:rsidRDefault="00DE12A0" w:rsidP="00D94ACA">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A0" w:rsidRDefault="00DE12A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10">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5">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6">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7">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8">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3">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8">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9">
    <w:nsid w:val="61746469"/>
    <w:multiLevelType w:val="hybridMultilevel"/>
    <w:tmpl w:val="A35ED5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6E14326D"/>
    <w:multiLevelType w:val="hybridMultilevel"/>
    <w:tmpl w:val="9E442E70"/>
    <w:lvl w:ilvl="0" w:tplc="BAF0F9F4">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5">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7">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5"/>
  </w:num>
  <w:num w:numId="2">
    <w:abstractNumId w:val="27"/>
  </w:num>
  <w:num w:numId="3">
    <w:abstractNumId w:val="7"/>
  </w:num>
  <w:num w:numId="4">
    <w:abstractNumId w:val="41"/>
  </w:num>
  <w:num w:numId="5">
    <w:abstractNumId w:val="22"/>
  </w:num>
  <w:num w:numId="6">
    <w:abstractNumId w:val="2"/>
  </w:num>
  <w:num w:numId="7">
    <w:abstractNumId w:val="44"/>
  </w:num>
  <w:num w:numId="8">
    <w:abstractNumId w:val="15"/>
  </w:num>
  <w:num w:numId="9">
    <w:abstractNumId w:val="37"/>
  </w:num>
  <w:num w:numId="10">
    <w:abstractNumId w:val="16"/>
  </w:num>
  <w:num w:numId="11">
    <w:abstractNumId w:val="35"/>
  </w:num>
  <w:num w:numId="12">
    <w:abstractNumId w:val="23"/>
  </w:num>
  <w:num w:numId="13">
    <w:abstractNumId w:val="3"/>
  </w:num>
  <w:num w:numId="14">
    <w:abstractNumId w:val="28"/>
  </w:num>
  <w:num w:numId="15">
    <w:abstractNumId w:val="18"/>
  </w:num>
  <w:num w:numId="16">
    <w:abstractNumId w:val="12"/>
  </w:num>
  <w:num w:numId="17">
    <w:abstractNumId w:val="8"/>
  </w:num>
  <w:num w:numId="18">
    <w:abstractNumId w:val="32"/>
  </w:num>
  <w:num w:numId="19">
    <w:abstractNumId w:val="46"/>
  </w:num>
  <w:num w:numId="20">
    <w:abstractNumId w:val="0"/>
  </w:num>
  <w:num w:numId="21">
    <w:abstractNumId w:val="25"/>
  </w:num>
  <w:num w:numId="22">
    <w:abstractNumId w:val="5"/>
  </w:num>
  <w:num w:numId="23">
    <w:abstractNumId w:val="21"/>
  </w:num>
  <w:num w:numId="24">
    <w:abstractNumId w:val="11"/>
  </w:num>
  <w:num w:numId="25">
    <w:abstractNumId w:val="10"/>
  </w:num>
  <w:num w:numId="26">
    <w:abstractNumId w:val="19"/>
  </w:num>
  <w:num w:numId="27">
    <w:abstractNumId w:val="20"/>
  </w:num>
  <w:num w:numId="28">
    <w:abstractNumId w:val="31"/>
  </w:num>
  <w:num w:numId="29">
    <w:abstractNumId w:val="33"/>
  </w:num>
  <w:num w:numId="30">
    <w:abstractNumId w:val="30"/>
  </w:num>
  <w:num w:numId="31">
    <w:abstractNumId w:val="26"/>
  </w:num>
  <w:num w:numId="32">
    <w:abstractNumId w:val="34"/>
  </w:num>
  <w:num w:numId="33">
    <w:abstractNumId w:val="43"/>
  </w:num>
  <w:num w:numId="34">
    <w:abstractNumId w:val="24"/>
  </w:num>
  <w:num w:numId="35">
    <w:abstractNumId w:val="47"/>
  </w:num>
  <w:num w:numId="36">
    <w:abstractNumId w:val="29"/>
  </w:num>
  <w:num w:numId="37">
    <w:abstractNumId w:val="9"/>
  </w:num>
  <w:num w:numId="38">
    <w:abstractNumId w:val="1"/>
  </w:num>
  <w:num w:numId="39">
    <w:abstractNumId w:val="36"/>
  </w:num>
  <w:num w:numId="40">
    <w:abstractNumId w:val="40"/>
  </w:num>
  <w:num w:numId="41">
    <w:abstractNumId w:val="6"/>
  </w:num>
  <w:num w:numId="42">
    <w:abstractNumId w:val="13"/>
  </w:num>
  <w:num w:numId="43">
    <w:abstractNumId w:val="14"/>
  </w:num>
  <w:num w:numId="44">
    <w:abstractNumId w:val="38"/>
  </w:num>
  <w:num w:numId="45">
    <w:abstractNumId w:val="17"/>
  </w:num>
  <w:num w:numId="46">
    <w:abstractNumId w:val="39"/>
  </w:num>
  <w:num w:numId="47">
    <w:abstractNumId w:val="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0013"/>
    <w:rsid w:val="00004BC0"/>
    <w:rsid w:val="00006D01"/>
    <w:rsid w:val="00010C4B"/>
    <w:rsid w:val="00010F72"/>
    <w:rsid w:val="00012798"/>
    <w:rsid w:val="00017307"/>
    <w:rsid w:val="0002092D"/>
    <w:rsid w:val="000262B7"/>
    <w:rsid w:val="00033E65"/>
    <w:rsid w:val="0003402E"/>
    <w:rsid w:val="00034117"/>
    <w:rsid w:val="00035D7E"/>
    <w:rsid w:val="00036944"/>
    <w:rsid w:val="000425AE"/>
    <w:rsid w:val="00044B09"/>
    <w:rsid w:val="00047A07"/>
    <w:rsid w:val="000553EF"/>
    <w:rsid w:val="00056FBF"/>
    <w:rsid w:val="00057553"/>
    <w:rsid w:val="00060483"/>
    <w:rsid w:val="00061ECB"/>
    <w:rsid w:val="000623D5"/>
    <w:rsid w:val="00062F6F"/>
    <w:rsid w:val="00063A60"/>
    <w:rsid w:val="000655CC"/>
    <w:rsid w:val="00072900"/>
    <w:rsid w:val="00075859"/>
    <w:rsid w:val="00075E45"/>
    <w:rsid w:val="00076033"/>
    <w:rsid w:val="00081D5A"/>
    <w:rsid w:val="0008270C"/>
    <w:rsid w:val="00082B55"/>
    <w:rsid w:val="00083101"/>
    <w:rsid w:val="0009157D"/>
    <w:rsid w:val="00092242"/>
    <w:rsid w:val="00092EDD"/>
    <w:rsid w:val="000A2748"/>
    <w:rsid w:val="000A292B"/>
    <w:rsid w:val="000A3008"/>
    <w:rsid w:val="000A35A2"/>
    <w:rsid w:val="000B341B"/>
    <w:rsid w:val="000B7339"/>
    <w:rsid w:val="000C39CF"/>
    <w:rsid w:val="000C40DF"/>
    <w:rsid w:val="000C4964"/>
    <w:rsid w:val="000C4DBE"/>
    <w:rsid w:val="000D286F"/>
    <w:rsid w:val="000D3258"/>
    <w:rsid w:val="000D5458"/>
    <w:rsid w:val="000D55EC"/>
    <w:rsid w:val="000D7188"/>
    <w:rsid w:val="000D79AF"/>
    <w:rsid w:val="000D7CBA"/>
    <w:rsid w:val="000E48FE"/>
    <w:rsid w:val="000E520E"/>
    <w:rsid w:val="000E633E"/>
    <w:rsid w:val="000F1D5A"/>
    <w:rsid w:val="000F3595"/>
    <w:rsid w:val="000F67CD"/>
    <w:rsid w:val="000F75B4"/>
    <w:rsid w:val="0010262E"/>
    <w:rsid w:val="001044BF"/>
    <w:rsid w:val="001058C4"/>
    <w:rsid w:val="00105F4F"/>
    <w:rsid w:val="00106EDF"/>
    <w:rsid w:val="00117381"/>
    <w:rsid w:val="0012096D"/>
    <w:rsid w:val="00120C2C"/>
    <w:rsid w:val="00120E0B"/>
    <w:rsid w:val="0012585D"/>
    <w:rsid w:val="00126635"/>
    <w:rsid w:val="00131192"/>
    <w:rsid w:val="00132A5E"/>
    <w:rsid w:val="00133730"/>
    <w:rsid w:val="00133929"/>
    <w:rsid w:val="00133F28"/>
    <w:rsid w:val="00134235"/>
    <w:rsid w:val="001372A0"/>
    <w:rsid w:val="001404CF"/>
    <w:rsid w:val="00143F3C"/>
    <w:rsid w:val="00147632"/>
    <w:rsid w:val="00151113"/>
    <w:rsid w:val="00162F8C"/>
    <w:rsid w:val="00163813"/>
    <w:rsid w:val="00170811"/>
    <w:rsid w:val="001713AF"/>
    <w:rsid w:val="00175B42"/>
    <w:rsid w:val="0018024E"/>
    <w:rsid w:val="0018085C"/>
    <w:rsid w:val="00183A84"/>
    <w:rsid w:val="00185DC3"/>
    <w:rsid w:val="00186BB6"/>
    <w:rsid w:val="00186E82"/>
    <w:rsid w:val="00187FCF"/>
    <w:rsid w:val="00190064"/>
    <w:rsid w:val="00192AB4"/>
    <w:rsid w:val="00196F23"/>
    <w:rsid w:val="00197AB4"/>
    <w:rsid w:val="001A06E9"/>
    <w:rsid w:val="001B21FC"/>
    <w:rsid w:val="001C4F68"/>
    <w:rsid w:val="001D2442"/>
    <w:rsid w:val="001D2732"/>
    <w:rsid w:val="001E00B9"/>
    <w:rsid w:val="001E2076"/>
    <w:rsid w:val="001E2D4F"/>
    <w:rsid w:val="001F01FE"/>
    <w:rsid w:val="001F0719"/>
    <w:rsid w:val="001F2731"/>
    <w:rsid w:val="001F3CA6"/>
    <w:rsid w:val="001F4BC2"/>
    <w:rsid w:val="00202009"/>
    <w:rsid w:val="002031CD"/>
    <w:rsid w:val="00214EB3"/>
    <w:rsid w:val="0021555C"/>
    <w:rsid w:val="0021681C"/>
    <w:rsid w:val="00220E08"/>
    <w:rsid w:val="002239EB"/>
    <w:rsid w:val="00226E09"/>
    <w:rsid w:val="00227065"/>
    <w:rsid w:val="00232A19"/>
    <w:rsid w:val="00232B9F"/>
    <w:rsid w:val="002352DA"/>
    <w:rsid w:val="00236D62"/>
    <w:rsid w:val="00246F7D"/>
    <w:rsid w:val="00254D09"/>
    <w:rsid w:val="00255E1C"/>
    <w:rsid w:val="0026248F"/>
    <w:rsid w:val="00263B4E"/>
    <w:rsid w:val="002660E3"/>
    <w:rsid w:val="002718E9"/>
    <w:rsid w:val="00280B8C"/>
    <w:rsid w:val="00280E6D"/>
    <w:rsid w:val="0028122D"/>
    <w:rsid w:val="00284EF6"/>
    <w:rsid w:val="0029341E"/>
    <w:rsid w:val="00293722"/>
    <w:rsid w:val="0029450B"/>
    <w:rsid w:val="00294624"/>
    <w:rsid w:val="00295040"/>
    <w:rsid w:val="00295BDA"/>
    <w:rsid w:val="002A3AE5"/>
    <w:rsid w:val="002A4EDB"/>
    <w:rsid w:val="002A5998"/>
    <w:rsid w:val="002A737A"/>
    <w:rsid w:val="002B5CA4"/>
    <w:rsid w:val="002B614D"/>
    <w:rsid w:val="002B6D95"/>
    <w:rsid w:val="002B72C9"/>
    <w:rsid w:val="002C0322"/>
    <w:rsid w:val="002C095C"/>
    <w:rsid w:val="002C2440"/>
    <w:rsid w:val="002C5033"/>
    <w:rsid w:val="002C5246"/>
    <w:rsid w:val="002D1256"/>
    <w:rsid w:val="002D2595"/>
    <w:rsid w:val="002D2FF4"/>
    <w:rsid w:val="002D366B"/>
    <w:rsid w:val="002D4CD9"/>
    <w:rsid w:val="002E42E8"/>
    <w:rsid w:val="002E6C92"/>
    <w:rsid w:val="002E7CE2"/>
    <w:rsid w:val="002F007A"/>
    <w:rsid w:val="002F13A3"/>
    <w:rsid w:val="003053FB"/>
    <w:rsid w:val="00307A4E"/>
    <w:rsid w:val="00313B84"/>
    <w:rsid w:val="00313FF4"/>
    <w:rsid w:val="00314B80"/>
    <w:rsid w:val="00320FD0"/>
    <w:rsid w:val="00321188"/>
    <w:rsid w:val="00321484"/>
    <w:rsid w:val="003256E9"/>
    <w:rsid w:val="003309C0"/>
    <w:rsid w:val="00331DDF"/>
    <w:rsid w:val="00331E22"/>
    <w:rsid w:val="0033344A"/>
    <w:rsid w:val="00333FE9"/>
    <w:rsid w:val="00335FB3"/>
    <w:rsid w:val="00342B9B"/>
    <w:rsid w:val="00345721"/>
    <w:rsid w:val="00352663"/>
    <w:rsid w:val="0035465F"/>
    <w:rsid w:val="003603B0"/>
    <w:rsid w:val="00361644"/>
    <w:rsid w:val="00361A39"/>
    <w:rsid w:val="00361C58"/>
    <w:rsid w:val="00363870"/>
    <w:rsid w:val="00366D0D"/>
    <w:rsid w:val="00372340"/>
    <w:rsid w:val="00376DA8"/>
    <w:rsid w:val="00380B8B"/>
    <w:rsid w:val="00381124"/>
    <w:rsid w:val="00381817"/>
    <w:rsid w:val="00391E7E"/>
    <w:rsid w:val="003920F9"/>
    <w:rsid w:val="003948BE"/>
    <w:rsid w:val="00394FEE"/>
    <w:rsid w:val="00395F2F"/>
    <w:rsid w:val="003A17DD"/>
    <w:rsid w:val="003A1A2D"/>
    <w:rsid w:val="003A2D64"/>
    <w:rsid w:val="003B0A66"/>
    <w:rsid w:val="003B32F0"/>
    <w:rsid w:val="003B48A8"/>
    <w:rsid w:val="003B5259"/>
    <w:rsid w:val="003B747A"/>
    <w:rsid w:val="003C5FA9"/>
    <w:rsid w:val="003D2731"/>
    <w:rsid w:val="003D30BC"/>
    <w:rsid w:val="003D40DC"/>
    <w:rsid w:val="003D524E"/>
    <w:rsid w:val="003D72EF"/>
    <w:rsid w:val="003E0AE6"/>
    <w:rsid w:val="003E2393"/>
    <w:rsid w:val="003E4DC7"/>
    <w:rsid w:val="003E52BD"/>
    <w:rsid w:val="003E538A"/>
    <w:rsid w:val="003F0474"/>
    <w:rsid w:val="003F1C5D"/>
    <w:rsid w:val="003F46A8"/>
    <w:rsid w:val="003F67C5"/>
    <w:rsid w:val="0040181C"/>
    <w:rsid w:val="00404CEA"/>
    <w:rsid w:val="0041109B"/>
    <w:rsid w:val="004116A8"/>
    <w:rsid w:val="0041267C"/>
    <w:rsid w:val="00415E04"/>
    <w:rsid w:val="004257F6"/>
    <w:rsid w:val="00425CC6"/>
    <w:rsid w:val="00426623"/>
    <w:rsid w:val="00430CA1"/>
    <w:rsid w:val="00431E4A"/>
    <w:rsid w:val="004349F7"/>
    <w:rsid w:val="00437DF0"/>
    <w:rsid w:val="004417C9"/>
    <w:rsid w:val="00443DE8"/>
    <w:rsid w:val="00444D31"/>
    <w:rsid w:val="0045250C"/>
    <w:rsid w:val="004541A6"/>
    <w:rsid w:val="0045480D"/>
    <w:rsid w:val="004556E5"/>
    <w:rsid w:val="00455FDC"/>
    <w:rsid w:val="0046051A"/>
    <w:rsid w:val="0046163B"/>
    <w:rsid w:val="004703D0"/>
    <w:rsid w:val="00470910"/>
    <w:rsid w:val="00472A3D"/>
    <w:rsid w:val="00474D51"/>
    <w:rsid w:val="00476147"/>
    <w:rsid w:val="00486406"/>
    <w:rsid w:val="0049113E"/>
    <w:rsid w:val="00491661"/>
    <w:rsid w:val="00494117"/>
    <w:rsid w:val="0049492D"/>
    <w:rsid w:val="00495CDE"/>
    <w:rsid w:val="00495DE6"/>
    <w:rsid w:val="00497AE5"/>
    <w:rsid w:val="004A1E38"/>
    <w:rsid w:val="004A5A47"/>
    <w:rsid w:val="004A5F42"/>
    <w:rsid w:val="004A71B9"/>
    <w:rsid w:val="004B2931"/>
    <w:rsid w:val="004B454A"/>
    <w:rsid w:val="004B4596"/>
    <w:rsid w:val="004B7D89"/>
    <w:rsid w:val="004C055E"/>
    <w:rsid w:val="004C79E7"/>
    <w:rsid w:val="004D2A42"/>
    <w:rsid w:val="004D4E34"/>
    <w:rsid w:val="004D6207"/>
    <w:rsid w:val="004E4316"/>
    <w:rsid w:val="004E6AE0"/>
    <w:rsid w:val="004E7686"/>
    <w:rsid w:val="004F0253"/>
    <w:rsid w:val="004F2027"/>
    <w:rsid w:val="004F33E6"/>
    <w:rsid w:val="004F48A0"/>
    <w:rsid w:val="004F654D"/>
    <w:rsid w:val="004F7A55"/>
    <w:rsid w:val="00500966"/>
    <w:rsid w:val="005048E3"/>
    <w:rsid w:val="00504E07"/>
    <w:rsid w:val="00504E98"/>
    <w:rsid w:val="00506591"/>
    <w:rsid w:val="00510D68"/>
    <w:rsid w:val="00514A32"/>
    <w:rsid w:val="00515918"/>
    <w:rsid w:val="00516201"/>
    <w:rsid w:val="00517B0E"/>
    <w:rsid w:val="005214D2"/>
    <w:rsid w:val="0052649C"/>
    <w:rsid w:val="005328EE"/>
    <w:rsid w:val="00533B94"/>
    <w:rsid w:val="00533CF6"/>
    <w:rsid w:val="00536AB6"/>
    <w:rsid w:val="0054025E"/>
    <w:rsid w:val="005404A5"/>
    <w:rsid w:val="00540A92"/>
    <w:rsid w:val="00541080"/>
    <w:rsid w:val="00550645"/>
    <w:rsid w:val="00554415"/>
    <w:rsid w:val="00561D83"/>
    <w:rsid w:val="005628A1"/>
    <w:rsid w:val="00563A53"/>
    <w:rsid w:val="00567B89"/>
    <w:rsid w:val="00574E47"/>
    <w:rsid w:val="00575425"/>
    <w:rsid w:val="0057632E"/>
    <w:rsid w:val="00576F3F"/>
    <w:rsid w:val="0057744F"/>
    <w:rsid w:val="00581AA2"/>
    <w:rsid w:val="0058555B"/>
    <w:rsid w:val="0058646F"/>
    <w:rsid w:val="0058703C"/>
    <w:rsid w:val="0059054F"/>
    <w:rsid w:val="00593402"/>
    <w:rsid w:val="00594301"/>
    <w:rsid w:val="0059472D"/>
    <w:rsid w:val="005963CF"/>
    <w:rsid w:val="005A248B"/>
    <w:rsid w:val="005A3729"/>
    <w:rsid w:val="005A389A"/>
    <w:rsid w:val="005A42A8"/>
    <w:rsid w:val="005A6246"/>
    <w:rsid w:val="005A636B"/>
    <w:rsid w:val="005A676A"/>
    <w:rsid w:val="005A7864"/>
    <w:rsid w:val="005B01A0"/>
    <w:rsid w:val="005B0854"/>
    <w:rsid w:val="005B1BBC"/>
    <w:rsid w:val="005B6007"/>
    <w:rsid w:val="005B656C"/>
    <w:rsid w:val="005B6DB9"/>
    <w:rsid w:val="005C12B9"/>
    <w:rsid w:val="005C41A0"/>
    <w:rsid w:val="005D0D8B"/>
    <w:rsid w:val="005D4D39"/>
    <w:rsid w:val="005D590A"/>
    <w:rsid w:val="005E202A"/>
    <w:rsid w:val="005E3F31"/>
    <w:rsid w:val="005E57AF"/>
    <w:rsid w:val="005E7066"/>
    <w:rsid w:val="005F4761"/>
    <w:rsid w:val="00600B84"/>
    <w:rsid w:val="00600FB5"/>
    <w:rsid w:val="00601077"/>
    <w:rsid w:val="00601224"/>
    <w:rsid w:val="006068CA"/>
    <w:rsid w:val="00606E67"/>
    <w:rsid w:val="00614315"/>
    <w:rsid w:val="0062096E"/>
    <w:rsid w:val="00622135"/>
    <w:rsid w:val="0062478A"/>
    <w:rsid w:val="0062725C"/>
    <w:rsid w:val="00630CE1"/>
    <w:rsid w:val="00633802"/>
    <w:rsid w:val="00633CF5"/>
    <w:rsid w:val="00634AB9"/>
    <w:rsid w:val="00634D0E"/>
    <w:rsid w:val="00635B56"/>
    <w:rsid w:val="0063721F"/>
    <w:rsid w:val="00640A7C"/>
    <w:rsid w:val="006429ED"/>
    <w:rsid w:val="0064437F"/>
    <w:rsid w:val="00645F88"/>
    <w:rsid w:val="00651B68"/>
    <w:rsid w:val="006533E7"/>
    <w:rsid w:val="00654335"/>
    <w:rsid w:val="006567DE"/>
    <w:rsid w:val="00657BDA"/>
    <w:rsid w:val="0066004B"/>
    <w:rsid w:val="00662069"/>
    <w:rsid w:val="00662912"/>
    <w:rsid w:val="0066417E"/>
    <w:rsid w:val="0067189F"/>
    <w:rsid w:val="006722EB"/>
    <w:rsid w:val="00673355"/>
    <w:rsid w:val="00673D72"/>
    <w:rsid w:val="00683113"/>
    <w:rsid w:val="00685FDB"/>
    <w:rsid w:val="00686767"/>
    <w:rsid w:val="0069178F"/>
    <w:rsid w:val="00692150"/>
    <w:rsid w:val="006956D0"/>
    <w:rsid w:val="00696685"/>
    <w:rsid w:val="006A09C2"/>
    <w:rsid w:val="006A0DAB"/>
    <w:rsid w:val="006A32E0"/>
    <w:rsid w:val="006A394D"/>
    <w:rsid w:val="006A6AD9"/>
    <w:rsid w:val="006A739C"/>
    <w:rsid w:val="006B1739"/>
    <w:rsid w:val="006B4928"/>
    <w:rsid w:val="006C00D7"/>
    <w:rsid w:val="006C4A8B"/>
    <w:rsid w:val="006C5EEF"/>
    <w:rsid w:val="006C7723"/>
    <w:rsid w:val="006D2656"/>
    <w:rsid w:val="006E32DD"/>
    <w:rsid w:val="006E4208"/>
    <w:rsid w:val="006E5E1C"/>
    <w:rsid w:val="006E6F6F"/>
    <w:rsid w:val="006F05C0"/>
    <w:rsid w:val="006F062C"/>
    <w:rsid w:val="006F0B47"/>
    <w:rsid w:val="006F2D94"/>
    <w:rsid w:val="006F445E"/>
    <w:rsid w:val="006F5337"/>
    <w:rsid w:val="006F6E8D"/>
    <w:rsid w:val="006F7397"/>
    <w:rsid w:val="00700F7D"/>
    <w:rsid w:val="00701182"/>
    <w:rsid w:val="00701AD2"/>
    <w:rsid w:val="00706937"/>
    <w:rsid w:val="00713C8D"/>
    <w:rsid w:val="00721D8C"/>
    <w:rsid w:val="00723C24"/>
    <w:rsid w:val="007243D8"/>
    <w:rsid w:val="00730188"/>
    <w:rsid w:val="007359E1"/>
    <w:rsid w:val="00736722"/>
    <w:rsid w:val="00737ED6"/>
    <w:rsid w:val="007433CA"/>
    <w:rsid w:val="00743BB7"/>
    <w:rsid w:val="007451D5"/>
    <w:rsid w:val="007464CB"/>
    <w:rsid w:val="0074672A"/>
    <w:rsid w:val="00746BC6"/>
    <w:rsid w:val="007554AE"/>
    <w:rsid w:val="00755693"/>
    <w:rsid w:val="0076264D"/>
    <w:rsid w:val="007632A0"/>
    <w:rsid w:val="00766811"/>
    <w:rsid w:val="00767B08"/>
    <w:rsid w:val="0077276E"/>
    <w:rsid w:val="00773031"/>
    <w:rsid w:val="007730F8"/>
    <w:rsid w:val="00773DC9"/>
    <w:rsid w:val="00774095"/>
    <w:rsid w:val="00785156"/>
    <w:rsid w:val="00785515"/>
    <w:rsid w:val="00790E39"/>
    <w:rsid w:val="00791AD9"/>
    <w:rsid w:val="00792F97"/>
    <w:rsid w:val="0079383B"/>
    <w:rsid w:val="007964E9"/>
    <w:rsid w:val="007A174B"/>
    <w:rsid w:val="007A27FA"/>
    <w:rsid w:val="007B196E"/>
    <w:rsid w:val="007C0BE6"/>
    <w:rsid w:val="007C11AF"/>
    <w:rsid w:val="007C20FD"/>
    <w:rsid w:val="007C2BCC"/>
    <w:rsid w:val="007D0351"/>
    <w:rsid w:val="007D03EF"/>
    <w:rsid w:val="007D0983"/>
    <w:rsid w:val="007D342B"/>
    <w:rsid w:val="007D387E"/>
    <w:rsid w:val="007D3F7E"/>
    <w:rsid w:val="007D72AA"/>
    <w:rsid w:val="007E3640"/>
    <w:rsid w:val="007F0265"/>
    <w:rsid w:val="007F0392"/>
    <w:rsid w:val="007F245F"/>
    <w:rsid w:val="007F4B4B"/>
    <w:rsid w:val="007F56DC"/>
    <w:rsid w:val="007F6382"/>
    <w:rsid w:val="007F782B"/>
    <w:rsid w:val="008009D0"/>
    <w:rsid w:val="00800CE0"/>
    <w:rsid w:val="00806051"/>
    <w:rsid w:val="00807E91"/>
    <w:rsid w:val="00812785"/>
    <w:rsid w:val="00813D01"/>
    <w:rsid w:val="00813D2A"/>
    <w:rsid w:val="008140BD"/>
    <w:rsid w:val="008152EA"/>
    <w:rsid w:val="00817542"/>
    <w:rsid w:val="00822BF6"/>
    <w:rsid w:val="00832A23"/>
    <w:rsid w:val="00835A8E"/>
    <w:rsid w:val="0083675F"/>
    <w:rsid w:val="00845B3D"/>
    <w:rsid w:val="0085079D"/>
    <w:rsid w:val="0085327A"/>
    <w:rsid w:val="0085498D"/>
    <w:rsid w:val="008617C7"/>
    <w:rsid w:val="0086368A"/>
    <w:rsid w:val="00864E47"/>
    <w:rsid w:val="00864F7C"/>
    <w:rsid w:val="00865270"/>
    <w:rsid w:val="00867D17"/>
    <w:rsid w:val="00870B98"/>
    <w:rsid w:val="008716E4"/>
    <w:rsid w:val="0087214C"/>
    <w:rsid w:val="00874865"/>
    <w:rsid w:val="00875BEF"/>
    <w:rsid w:val="008779F2"/>
    <w:rsid w:val="0088299E"/>
    <w:rsid w:val="008866E9"/>
    <w:rsid w:val="0089098F"/>
    <w:rsid w:val="00892451"/>
    <w:rsid w:val="008950D7"/>
    <w:rsid w:val="00897A51"/>
    <w:rsid w:val="008A3522"/>
    <w:rsid w:val="008A5DE5"/>
    <w:rsid w:val="008A6CA2"/>
    <w:rsid w:val="008B110E"/>
    <w:rsid w:val="008B153C"/>
    <w:rsid w:val="008B2B31"/>
    <w:rsid w:val="008B74A2"/>
    <w:rsid w:val="008B7CF8"/>
    <w:rsid w:val="008C277E"/>
    <w:rsid w:val="008C355C"/>
    <w:rsid w:val="008C53E7"/>
    <w:rsid w:val="008C5DA3"/>
    <w:rsid w:val="008C657A"/>
    <w:rsid w:val="008C7961"/>
    <w:rsid w:val="008C7E89"/>
    <w:rsid w:val="008D664D"/>
    <w:rsid w:val="008D686E"/>
    <w:rsid w:val="008D7B3A"/>
    <w:rsid w:val="008E0A5D"/>
    <w:rsid w:val="008E2DD3"/>
    <w:rsid w:val="008E4B89"/>
    <w:rsid w:val="008E6179"/>
    <w:rsid w:val="008F1092"/>
    <w:rsid w:val="008F10E9"/>
    <w:rsid w:val="008F65CB"/>
    <w:rsid w:val="00900F4B"/>
    <w:rsid w:val="009014F6"/>
    <w:rsid w:val="00901A2B"/>
    <w:rsid w:val="00906628"/>
    <w:rsid w:val="00906D62"/>
    <w:rsid w:val="009158E9"/>
    <w:rsid w:val="00920404"/>
    <w:rsid w:val="0092460A"/>
    <w:rsid w:val="009262DD"/>
    <w:rsid w:val="009309FD"/>
    <w:rsid w:val="009319B3"/>
    <w:rsid w:val="009334FC"/>
    <w:rsid w:val="00935BC0"/>
    <w:rsid w:val="0094126E"/>
    <w:rsid w:val="009421A1"/>
    <w:rsid w:val="009431F3"/>
    <w:rsid w:val="009438BB"/>
    <w:rsid w:val="00944DE5"/>
    <w:rsid w:val="00947145"/>
    <w:rsid w:val="0094785F"/>
    <w:rsid w:val="00950C36"/>
    <w:rsid w:val="0095188D"/>
    <w:rsid w:val="00952967"/>
    <w:rsid w:val="00955BA9"/>
    <w:rsid w:val="0095641A"/>
    <w:rsid w:val="00960BF9"/>
    <w:rsid w:val="00964468"/>
    <w:rsid w:val="00967B6A"/>
    <w:rsid w:val="009706E8"/>
    <w:rsid w:val="00974CC2"/>
    <w:rsid w:val="00977894"/>
    <w:rsid w:val="00981812"/>
    <w:rsid w:val="0099252F"/>
    <w:rsid w:val="009A5A9E"/>
    <w:rsid w:val="009B13DB"/>
    <w:rsid w:val="009B6356"/>
    <w:rsid w:val="009C11CC"/>
    <w:rsid w:val="009C2315"/>
    <w:rsid w:val="009C4F5E"/>
    <w:rsid w:val="009E4D7E"/>
    <w:rsid w:val="009F08A7"/>
    <w:rsid w:val="009F138D"/>
    <w:rsid w:val="009F43A5"/>
    <w:rsid w:val="009F78B3"/>
    <w:rsid w:val="00A02F53"/>
    <w:rsid w:val="00A040C3"/>
    <w:rsid w:val="00A0473A"/>
    <w:rsid w:val="00A05D6C"/>
    <w:rsid w:val="00A06F16"/>
    <w:rsid w:val="00A07970"/>
    <w:rsid w:val="00A12F0D"/>
    <w:rsid w:val="00A1570B"/>
    <w:rsid w:val="00A16BA8"/>
    <w:rsid w:val="00A1715A"/>
    <w:rsid w:val="00A172CD"/>
    <w:rsid w:val="00A175F1"/>
    <w:rsid w:val="00A2297A"/>
    <w:rsid w:val="00A24A0E"/>
    <w:rsid w:val="00A254A7"/>
    <w:rsid w:val="00A25A45"/>
    <w:rsid w:val="00A37962"/>
    <w:rsid w:val="00A40173"/>
    <w:rsid w:val="00A40180"/>
    <w:rsid w:val="00A418D9"/>
    <w:rsid w:val="00A43254"/>
    <w:rsid w:val="00A45E4F"/>
    <w:rsid w:val="00A46C94"/>
    <w:rsid w:val="00A51B61"/>
    <w:rsid w:val="00A52452"/>
    <w:rsid w:val="00A553AC"/>
    <w:rsid w:val="00A610C3"/>
    <w:rsid w:val="00A66ECA"/>
    <w:rsid w:val="00A7046D"/>
    <w:rsid w:val="00A737D8"/>
    <w:rsid w:val="00A80D30"/>
    <w:rsid w:val="00A83104"/>
    <w:rsid w:val="00A86EA8"/>
    <w:rsid w:val="00A8764C"/>
    <w:rsid w:val="00A92F8D"/>
    <w:rsid w:val="00A94C38"/>
    <w:rsid w:val="00AA122C"/>
    <w:rsid w:val="00AA57CF"/>
    <w:rsid w:val="00AB0B7A"/>
    <w:rsid w:val="00AB3A15"/>
    <w:rsid w:val="00AB4345"/>
    <w:rsid w:val="00AB7D4F"/>
    <w:rsid w:val="00AC070E"/>
    <w:rsid w:val="00AD1255"/>
    <w:rsid w:val="00AD477D"/>
    <w:rsid w:val="00AD64C1"/>
    <w:rsid w:val="00AD7798"/>
    <w:rsid w:val="00AD7A30"/>
    <w:rsid w:val="00AE5E09"/>
    <w:rsid w:val="00AE6C85"/>
    <w:rsid w:val="00AF343A"/>
    <w:rsid w:val="00AF3988"/>
    <w:rsid w:val="00AF4AC9"/>
    <w:rsid w:val="00AF5425"/>
    <w:rsid w:val="00AF7CC8"/>
    <w:rsid w:val="00B0076B"/>
    <w:rsid w:val="00B00AAB"/>
    <w:rsid w:val="00B01595"/>
    <w:rsid w:val="00B050EF"/>
    <w:rsid w:val="00B0569C"/>
    <w:rsid w:val="00B05F54"/>
    <w:rsid w:val="00B11272"/>
    <w:rsid w:val="00B1129C"/>
    <w:rsid w:val="00B115E6"/>
    <w:rsid w:val="00B143C0"/>
    <w:rsid w:val="00B148A8"/>
    <w:rsid w:val="00B15532"/>
    <w:rsid w:val="00B25493"/>
    <w:rsid w:val="00B35F96"/>
    <w:rsid w:val="00B40346"/>
    <w:rsid w:val="00B47687"/>
    <w:rsid w:val="00B51571"/>
    <w:rsid w:val="00B556D9"/>
    <w:rsid w:val="00B570D1"/>
    <w:rsid w:val="00B60E48"/>
    <w:rsid w:val="00B61ED4"/>
    <w:rsid w:val="00B66C0F"/>
    <w:rsid w:val="00B674FC"/>
    <w:rsid w:val="00B73427"/>
    <w:rsid w:val="00B8205E"/>
    <w:rsid w:val="00B83784"/>
    <w:rsid w:val="00B84952"/>
    <w:rsid w:val="00B863D3"/>
    <w:rsid w:val="00B86C0B"/>
    <w:rsid w:val="00B87276"/>
    <w:rsid w:val="00B93191"/>
    <w:rsid w:val="00B94B63"/>
    <w:rsid w:val="00B953C0"/>
    <w:rsid w:val="00B96E76"/>
    <w:rsid w:val="00BA1368"/>
    <w:rsid w:val="00BA362F"/>
    <w:rsid w:val="00BA364B"/>
    <w:rsid w:val="00BA4BED"/>
    <w:rsid w:val="00BA4DDA"/>
    <w:rsid w:val="00BA544F"/>
    <w:rsid w:val="00BA68E6"/>
    <w:rsid w:val="00BA710E"/>
    <w:rsid w:val="00BA72D8"/>
    <w:rsid w:val="00BB0428"/>
    <w:rsid w:val="00BB19CD"/>
    <w:rsid w:val="00BB493F"/>
    <w:rsid w:val="00BB5D8F"/>
    <w:rsid w:val="00BB698F"/>
    <w:rsid w:val="00BC268D"/>
    <w:rsid w:val="00BC42A4"/>
    <w:rsid w:val="00BC7A84"/>
    <w:rsid w:val="00BC7D16"/>
    <w:rsid w:val="00BD3F80"/>
    <w:rsid w:val="00BE0235"/>
    <w:rsid w:val="00BE0BF6"/>
    <w:rsid w:val="00BE1845"/>
    <w:rsid w:val="00BE2087"/>
    <w:rsid w:val="00BE2256"/>
    <w:rsid w:val="00BE370A"/>
    <w:rsid w:val="00BF5073"/>
    <w:rsid w:val="00C017B5"/>
    <w:rsid w:val="00C10833"/>
    <w:rsid w:val="00C132A0"/>
    <w:rsid w:val="00C13A1F"/>
    <w:rsid w:val="00C1405B"/>
    <w:rsid w:val="00C14964"/>
    <w:rsid w:val="00C14D72"/>
    <w:rsid w:val="00C1541B"/>
    <w:rsid w:val="00C2335A"/>
    <w:rsid w:val="00C23FBE"/>
    <w:rsid w:val="00C25D56"/>
    <w:rsid w:val="00C26FB8"/>
    <w:rsid w:val="00C273A3"/>
    <w:rsid w:val="00C279C9"/>
    <w:rsid w:val="00C301A8"/>
    <w:rsid w:val="00C321F7"/>
    <w:rsid w:val="00C3777B"/>
    <w:rsid w:val="00C400F4"/>
    <w:rsid w:val="00C406B5"/>
    <w:rsid w:val="00C418BD"/>
    <w:rsid w:val="00C4289F"/>
    <w:rsid w:val="00C4355B"/>
    <w:rsid w:val="00C4513E"/>
    <w:rsid w:val="00C4772B"/>
    <w:rsid w:val="00C47792"/>
    <w:rsid w:val="00C477B5"/>
    <w:rsid w:val="00C55550"/>
    <w:rsid w:val="00C60638"/>
    <w:rsid w:val="00C60651"/>
    <w:rsid w:val="00C62A69"/>
    <w:rsid w:val="00C64AC7"/>
    <w:rsid w:val="00C64B98"/>
    <w:rsid w:val="00C6507F"/>
    <w:rsid w:val="00C65402"/>
    <w:rsid w:val="00C67234"/>
    <w:rsid w:val="00C7599E"/>
    <w:rsid w:val="00C76FA6"/>
    <w:rsid w:val="00C84835"/>
    <w:rsid w:val="00C84CCB"/>
    <w:rsid w:val="00C86AD1"/>
    <w:rsid w:val="00C8769F"/>
    <w:rsid w:val="00C91BF5"/>
    <w:rsid w:val="00C93024"/>
    <w:rsid w:val="00C93A41"/>
    <w:rsid w:val="00C9587B"/>
    <w:rsid w:val="00C97DB0"/>
    <w:rsid w:val="00CA0D77"/>
    <w:rsid w:val="00CA0F29"/>
    <w:rsid w:val="00CA7AC0"/>
    <w:rsid w:val="00CB293D"/>
    <w:rsid w:val="00CB371B"/>
    <w:rsid w:val="00CB3E1B"/>
    <w:rsid w:val="00CB4411"/>
    <w:rsid w:val="00CB7560"/>
    <w:rsid w:val="00CC07F0"/>
    <w:rsid w:val="00CC1D40"/>
    <w:rsid w:val="00CC26DC"/>
    <w:rsid w:val="00CC3EEF"/>
    <w:rsid w:val="00CC47E9"/>
    <w:rsid w:val="00CD1337"/>
    <w:rsid w:val="00CE4319"/>
    <w:rsid w:val="00CE60CE"/>
    <w:rsid w:val="00CE6E04"/>
    <w:rsid w:val="00CF0855"/>
    <w:rsid w:val="00CF43FA"/>
    <w:rsid w:val="00D01BD2"/>
    <w:rsid w:val="00D02FD5"/>
    <w:rsid w:val="00D0301A"/>
    <w:rsid w:val="00D03420"/>
    <w:rsid w:val="00D06050"/>
    <w:rsid w:val="00D07654"/>
    <w:rsid w:val="00D07688"/>
    <w:rsid w:val="00D076B7"/>
    <w:rsid w:val="00D1032B"/>
    <w:rsid w:val="00D117C5"/>
    <w:rsid w:val="00D2215D"/>
    <w:rsid w:val="00D22B79"/>
    <w:rsid w:val="00D24C9E"/>
    <w:rsid w:val="00D265D9"/>
    <w:rsid w:val="00D30663"/>
    <w:rsid w:val="00D319AF"/>
    <w:rsid w:val="00D34F1A"/>
    <w:rsid w:val="00D367ED"/>
    <w:rsid w:val="00D37B47"/>
    <w:rsid w:val="00D449BE"/>
    <w:rsid w:val="00D45271"/>
    <w:rsid w:val="00D535A9"/>
    <w:rsid w:val="00D56BB8"/>
    <w:rsid w:val="00D57D24"/>
    <w:rsid w:val="00D63569"/>
    <w:rsid w:val="00D655F0"/>
    <w:rsid w:val="00D66A9C"/>
    <w:rsid w:val="00D66C01"/>
    <w:rsid w:val="00D67513"/>
    <w:rsid w:val="00D67FA3"/>
    <w:rsid w:val="00D70502"/>
    <w:rsid w:val="00D70DC4"/>
    <w:rsid w:val="00D71BF7"/>
    <w:rsid w:val="00D72BFC"/>
    <w:rsid w:val="00D73917"/>
    <w:rsid w:val="00D76323"/>
    <w:rsid w:val="00D76821"/>
    <w:rsid w:val="00D82F23"/>
    <w:rsid w:val="00D91C9A"/>
    <w:rsid w:val="00D94ACA"/>
    <w:rsid w:val="00DA000D"/>
    <w:rsid w:val="00DA0622"/>
    <w:rsid w:val="00DA4E04"/>
    <w:rsid w:val="00DA6C91"/>
    <w:rsid w:val="00DA70F5"/>
    <w:rsid w:val="00DA7E30"/>
    <w:rsid w:val="00DB1455"/>
    <w:rsid w:val="00DB410A"/>
    <w:rsid w:val="00DC02FA"/>
    <w:rsid w:val="00DC05A0"/>
    <w:rsid w:val="00DC0642"/>
    <w:rsid w:val="00DC0BCA"/>
    <w:rsid w:val="00DC379E"/>
    <w:rsid w:val="00DC71F7"/>
    <w:rsid w:val="00DD10EB"/>
    <w:rsid w:val="00DD11FA"/>
    <w:rsid w:val="00DD31D1"/>
    <w:rsid w:val="00DD5564"/>
    <w:rsid w:val="00DE084D"/>
    <w:rsid w:val="00DE12A0"/>
    <w:rsid w:val="00DE2F65"/>
    <w:rsid w:val="00DE6BFC"/>
    <w:rsid w:val="00DE7579"/>
    <w:rsid w:val="00DE7B5E"/>
    <w:rsid w:val="00DF33EB"/>
    <w:rsid w:val="00DF523B"/>
    <w:rsid w:val="00E048CC"/>
    <w:rsid w:val="00E074A2"/>
    <w:rsid w:val="00E078BE"/>
    <w:rsid w:val="00E079B5"/>
    <w:rsid w:val="00E1148B"/>
    <w:rsid w:val="00E15402"/>
    <w:rsid w:val="00E15BF5"/>
    <w:rsid w:val="00E163FA"/>
    <w:rsid w:val="00E16EBD"/>
    <w:rsid w:val="00E1789F"/>
    <w:rsid w:val="00E228F2"/>
    <w:rsid w:val="00E22AFF"/>
    <w:rsid w:val="00E24BFD"/>
    <w:rsid w:val="00E257B3"/>
    <w:rsid w:val="00E278A3"/>
    <w:rsid w:val="00E318EB"/>
    <w:rsid w:val="00E32E01"/>
    <w:rsid w:val="00E33E38"/>
    <w:rsid w:val="00E356A0"/>
    <w:rsid w:val="00E36D2F"/>
    <w:rsid w:val="00E371A1"/>
    <w:rsid w:val="00E37920"/>
    <w:rsid w:val="00E47728"/>
    <w:rsid w:val="00E50E02"/>
    <w:rsid w:val="00E543E6"/>
    <w:rsid w:val="00E54CCD"/>
    <w:rsid w:val="00E620CB"/>
    <w:rsid w:val="00E65B15"/>
    <w:rsid w:val="00E7062E"/>
    <w:rsid w:val="00E70924"/>
    <w:rsid w:val="00E74808"/>
    <w:rsid w:val="00E80938"/>
    <w:rsid w:val="00E81404"/>
    <w:rsid w:val="00E95600"/>
    <w:rsid w:val="00E976BA"/>
    <w:rsid w:val="00EA569E"/>
    <w:rsid w:val="00EA74DD"/>
    <w:rsid w:val="00EA7685"/>
    <w:rsid w:val="00EA7AB5"/>
    <w:rsid w:val="00EB162B"/>
    <w:rsid w:val="00EB2FCB"/>
    <w:rsid w:val="00EB307B"/>
    <w:rsid w:val="00EB4535"/>
    <w:rsid w:val="00EB480B"/>
    <w:rsid w:val="00EB6D41"/>
    <w:rsid w:val="00EB7649"/>
    <w:rsid w:val="00EC1FD8"/>
    <w:rsid w:val="00ED20B1"/>
    <w:rsid w:val="00ED314A"/>
    <w:rsid w:val="00ED7B33"/>
    <w:rsid w:val="00EE0195"/>
    <w:rsid w:val="00EE0D27"/>
    <w:rsid w:val="00EF0714"/>
    <w:rsid w:val="00EF19C8"/>
    <w:rsid w:val="00F01E0F"/>
    <w:rsid w:val="00F0241B"/>
    <w:rsid w:val="00F02E24"/>
    <w:rsid w:val="00F04464"/>
    <w:rsid w:val="00F05699"/>
    <w:rsid w:val="00F0757E"/>
    <w:rsid w:val="00F1078A"/>
    <w:rsid w:val="00F11346"/>
    <w:rsid w:val="00F11572"/>
    <w:rsid w:val="00F13F3B"/>
    <w:rsid w:val="00F15E5A"/>
    <w:rsid w:val="00F20931"/>
    <w:rsid w:val="00F20A21"/>
    <w:rsid w:val="00F22E52"/>
    <w:rsid w:val="00F233E6"/>
    <w:rsid w:val="00F249AE"/>
    <w:rsid w:val="00F2672E"/>
    <w:rsid w:val="00F32112"/>
    <w:rsid w:val="00F32483"/>
    <w:rsid w:val="00F33161"/>
    <w:rsid w:val="00F339B2"/>
    <w:rsid w:val="00F34779"/>
    <w:rsid w:val="00F37F41"/>
    <w:rsid w:val="00F43471"/>
    <w:rsid w:val="00F445B7"/>
    <w:rsid w:val="00F5241C"/>
    <w:rsid w:val="00F52B2B"/>
    <w:rsid w:val="00F57664"/>
    <w:rsid w:val="00F64213"/>
    <w:rsid w:val="00F653A0"/>
    <w:rsid w:val="00F65B25"/>
    <w:rsid w:val="00F66512"/>
    <w:rsid w:val="00F67573"/>
    <w:rsid w:val="00F71E16"/>
    <w:rsid w:val="00F72D8D"/>
    <w:rsid w:val="00F80404"/>
    <w:rsid w:val="00F86891"/>
    <w:rsid w:val="00F8690B"/>
    <w:rsid w:val="00F9295A"/>
    <w:rsid w:val="00F9624E"/>
    <w:rsid w:val="00FA1CB6"/>
    <w:rsid w:val="00FA300B"/>
    <w:rsid w:val="00FA70CA"/>
    <w:rsid w:val="00FA7A43"/>
    <w:rsid w:val="00FB2AF2"/>
    <w:rsid w:val="00FB3582"/>
    <w:rsid w:val="00FB6546"/>
    <w:rsid w:val="00FB7BBF"/>
    <w:rsid w:val="00FC09E0"/>
    <w:rsid w:val="00FC4E5A"/>
    <w:rsid w:val="00FC5E45"/>
    <w:rsid w:val="00FC6CDD"/>
    <w:rsid w:val="00FC74A1"/>
    <w:rsid w:val="00FD1276"/>
    <w:rsid w:val="00FD213A"/>
    <w:rsid w:val="00FD5D46"/>
    <w:rsid w:val="00FD6038"/>
    <w:rsid w:val="00FE247E"/>
    <w:rsid w:val="00FE439E"/>
    <w:rsid w:val="00FE4610"/>
    <w:rsid w:val="00FE4A07"/>
    <w:rsid w:val="00FE7C38"/>
    <w:rsid w:val="00FF127D"/>
    <w:rsid w:val="00FF2687"/>
    <w:rsid w:val="00FF47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28446095">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458911709">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ader-maritsa.e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umis2020.government.b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bg/prsr-2014-2020/merki-podpomagan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dfz.bg/bg/prsr-2014-2020/merki-podpomagan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dfz.bg/bg/prsr-2014-2020/merki-podpomagan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C3EB-C3D5-40D4-AFEA-58D5A58F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10082</Words>
  <Characters>57474</Characters>
  <Application>Microsoft Office Word</Application>
  <DocSecurity>0</DocSecurity>
  <Lines>478</Lines>
  <Paragraphs>134</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67422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MIG-Maritsa.1</cp:lastModifiedBy>
  <cp:revision>10</cp:revision>
  <cp:lastPrinted>2019-12-12T08:53:00Z</cp:lastPrinted>
  <dcterms:created xsi:type="dcterms:W3CDTF">2022-02-17T11:09:00Z</dcterms:created>
  <dcterms:modified xsi:type="dcterms:W3CDTF">2022-02-17T12:11:00Z</dcterms:modified>
</cp:coreProperties>
</file>