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DB3BA9">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DB3BA9">
              <w:rPr>
                <w:rFonts w:ascii="Times New Roman" w:eastAsia="Times New Roman" w:hAnsi="Times New Roman" w:cs="Times New Roman"/>
                <w:b/>
                <w:sz w:val="28"/>
                <w:szCs w:val="28"/>
                <w:lang w:val="en-GB" w:eastAsia="bg-BG"/>
              </w:rPr>
              <w:t>630</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5598,1410" to="5876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B36D01"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7</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sidRPr="00CC6575">
        <w:rPr>
          <w:rFonts w:ascii="Times New Roman" w:eastAsia="Times New Roman" w:hAnsi="Times New Roman" w:cs="Times New Roman"/>
          <w:sz w:val="24"/>
          <w:szCs w:val="24"/>
          <w:lang w:eastAsia="bg-BG"/>
        </w:rPr>
        <w:t>двадесет и четири</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30.06.2023г.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170AC2"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w:t>
      </w:r>
      <w:r w:rsidRPr="00C5639C">
        <w:rPr>
          <w:rFonts w:ascii="Times New Roman" w:eastAsia="Times New Roman" w:hAnsi="Times New Roman" w:cs="Times New Roman"/>
          <w:sz w:val="24"/>
          <w:szCs w:val="24"/>
          <w:lang w:eastAsia="bg-BG"/>
        </w:rPr>
        <w:lastRenderedPageBreak/>
        <w:t>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P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76641D" w:rsidRDefault="00725124" w:rsidP="00CC6575">
      <w:pPr>
        <w:widowControl w:val="0"/>
        <w:tabs>
          <w:tab w:val="left" w:pos="373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Заявление за профил за достъп на упълномощени от бенефициента лица до ИСУН 2020</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01" w:rsidRDefault="00B36D01" w:rsidP="00B31875">
      <w:pPr>
        <w:spacing w:after="0" w:line="240" w:lineRule="auto"/>
      </w:pPr>
      <w:r>
        <w:separator/>
      </w:r>
    </w:p>
  </w:endnote>
  <w:endnote w:type="continuationSeparator" w:id="0">
    <w:p w:rsidR="00B36D01" w:rsidRDefault="00B36D01"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DB3BA9">
          <w:rPr>
            <w:noProof/>
          </w:rPr>
          <w:t>1</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DB3BA9">
      <w:rPr>
        <w:rFonts w:ascii="Times New Roman" w:hAnsi="Times New Roman" w:cs="Times New Roman"/>
        <w:b/>
        <w:sz w:val="16"/>
        <w:szCs w:val="16"/>
        <w:lang w:val="en-GB"/>
      </w:rPr>
      <w:t>630</w:t>
    </w:r>
    <w:bookmarkStart w:id="0" w:name="_GoBack"/>
    <w:bookmarkEnd w:id="0"/>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01" w:rsidRDefault="00B36D01" w:rsidP="00B31875">
      <w:pPr>
        <w:spacing w:after="0" w:line="240" w:lineRule="auto"/>
      </w:pPr>
      <w:r>
        <w:separator/>
      </w:r>
    </w:p>
  </w:footnote>
  <w:footnote w:type="continuationSeparator" w:id="0">
    <w:p w:rsidR="00B36D01" w:rsidRDefault="00B36D01"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41F3C"/>
    <w:rsid w:val="0014222E"/>
    <w:rsid w:val="00163309"/>
    <w:rsid w:val="00170AC2"/>
    <w:rsid w:val="00175959"/>
    <w:rsid w:val="001774FE"/>
    <w:rsid w:val="00191C25"/>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E0B67"/>
    <w:rsid w:val="003F0401"/>
    <w:rsid w:val="003F3E06"/>
    <w:rsid w:val="004022A3"/>
    <w:rsid w:val="00405725"/>
    <w:rsid w:val="004109B5"/>
    <w:rsid w:val="00426675"/>
    <w:rsid w:val="00436FCB"/>
    <w:rsid w:val="004378D2"/>
    <w:rsid w:val="004578D2"/>
    <w:rsid w:val="00461FA5"/>
    <w:rsid w:val="00466572"/>
    <w:rsid w:val="00471310"/>
    <w:rsid w:val="00475F60"/>
    <w:rsid w:val="004A715D"/>
    <w:rsid w:val="004B47B4"/>
    <w:rsid w:val="004D44C6"/>
    <w:rsid w:val="004D75AD"/>
    <w:rsid w:val="004E3334"/>
    <w:rsid w:val="004E4DE3"/>
    <w:rsid w:val="004F6AA8"/>
    <w:rsid w:val="004F7306"/>
    <w:rsid w:val="0057739D"/>
    <w:rsid w:val="005B31FB"/>
    <w:rsid w:val="005F293E"/>
    <w:rsid w:val="005F3593"/>
    <w:rsid w:val="005F4BC5"/>
    <w:rsid w:val="0061713C"/>
    <w:rsid w:val="006558DB"/>
    <w:rsid w:val="00676887"/>
    <w:rsid w:val="0068059A"/>
    <w:rsid w:val="00681AFA"/>
    <w:rsid w:val="006B7EFF"/>
    <w:rsid w:val="006C5ABB"/>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03A3B"/>
    <w:rsid w:val="009317B7"/>
    <w:rsid w:val="00931A7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11B2"/>
    <w:rsid w:val="009E37B2"/>
    <w:rsid w:val="009F0BEF"/>
    <w:rsid w:val="00A24D5B"/>
    <w:rsid w:val="00A34CCF"/>
    <w:rsid w:val="00A52370"/>
    <w:rsid w:val="00A5481D"/>
    <w:rsid w:val="00A745DE"/>
    <w:rsid w:val="00A84EEF"/>
    <w:rsid w:val="00A93568"/>
    <w:rsid w:val="00AA19FE"/>
    <w:rsid w:val="00AE7B18"/>
    <w:rsid w:val="00B2471B"/>
    <w:rsid w:val="00B2590C"/>
    <w:rsid w:val="00B27FA4"/>
    <w:rsid w:val="00B31875"/>
    <w:rsid w:val="00B36D01"/>
    <w:rsid w:val="00B447C7"/>
    <w:rsid w:val="00B54793"/>
    <w:rsid w:val="00B5644B"/>
    <w:rsid w:val="00B8169A"/>
    <w:rsid w:val="00B94D7F"/>
    <w:rsid w:val="00BB29AA"/>
    <w:rsid w:val="00BE49C7"/>
    <w:rsid w:val="00C10A05"/>
    <w:rsid w:val="00C233FD"/>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743F3"/>
    <w:rsid w:val="00D7769C"/>
    <w:rsid w:val="00D858A7"/>
    <w:rsid w:val="00D928E6"/>
    <w:rsid w:val="00D97BB8"/>
    <w:rsid w:val="00DA111E"/>
    <w:rsid w:val="00DA5643"/>
    <w:rsid w:val="00DA6682"/>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96E9B"/>
    <w:rsid w:val="00FA46C3"/>
    <w:rsid w:val="00FC3A6A"/>
    <w:rsid w:val="00FC3B4D"/>
    <w:rsid w:val="00FC6DC3"/>
    <w:rsid w:val="00FE14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F57-9EA5-4448-B460-8034AA6A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2800</Words>
  <Characters>15965</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MIG-Maritsa.1</cp:lastModifiedBy>
  <cp:revision>5</cp:revision>
  <dcterms:created xsi:type="dcterms:W3CDTF">2022-02-15T07:31:00Z</dcterms:created>
  <dcterms:modified xsi:type="dcterms:W3CDTF">2022-02-17T14:57:00Z</dcterms:modified>
</cp:coreProperties>
</file>