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A5" w:rsidRDefault="001243A5" w:rsidP="00822A38">
      <w:pPr>
        <w:spacing w:after="6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822A38" w:rsidRPr="00822A38" w:rsidRDefault="001243A5" w:rsidP="00A9676F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243A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СНЦ „Местна инициативна група – Община Марица" </w:t>
      </w:r>
      <w:r w:rsidR="00822A38"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кани желаещите да представят проектни предложения по Приоритетна ос 2 „Предприемачество и капацитет за растеж на МСП“, Инвестиционен приоритет 2.2 „Капацитет за растеж на МСП“ като ОБЯВЯВА процедура за подбор на проекти: </w:t>
      </w:r>
    </w:p>
    <w:p w:rsidR="00822A38" w:rsidRPr="00822A38" w:rsidRDefault="00396EE6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396EE6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bg-BG"/>
        </w:rPr>
        <w:t>BG16RFOP002-2.013</w:t>
      </w:r>
      <w:r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bg-BG"/>
        </w:rPr>
        <w:t xml:space="preserve"> МИГ – Община Марица М08</w:t>
      </w:r>
      <w:r w:rsidR="001243A5" w:rsidRPr="001243A5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bg-BG"/>
        </w:rPr>
        <w:t xml:space="preserve">  </w:t>
      </w:r>
      <w:r w:rsidR="00822A38" w:rsidRPr="00822A38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bg-BG"/>
        </w:rPr>
        <w:t>„</w:t>
      </w:r>
      <w:r w:rsidR="001243A5" w:rsidRPr="001243A5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bg-BG"/>
        </w:rPr>
        <w:t>Подобряване на производствения капацитет в МСП на територията на МИГ</w:t>
      </w:r>
      <w:r w:rsidR="0038459B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bg-BG"/>
        </w:rPr>
        <w:t xml:space="preserve">“ </w:t>
      </w:r>
    </w:p>
    <w:p w:rsidR="00964B38" w:rsidRDefault="00964B38" w:rsidP="00A9676F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1243A5" w:rsidRDefault="001243A5" w:rsidP="00A9676F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1243A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Целта на процедура „Подобряване на производствения капацитет в МСП на територията на МИГ“ е: Повишаване на конкурентоспособността на местната икономика на територията на МИГ - Община Марица чрез повишаване на производителността и експортния потенциал на МСП на тези територии</w:t>
      </w:r>
      <w:r w:rsidR="00A9676F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,</w:t>
      </w:r>
      <w:r w:rsidRPr="001243A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 увеличаване на тяхното участие във веригата на добавена стойност и ускоряване на постигането на пазарна устойчивост при условията на силно динамичн</w:t>
      </w:r>
      <w:bookmarkStart w:id="0" w:name="_GoBack"/>
      <w:bookmarkEnd w:id="0"/>
      <w:r w:rsidRPr="001243A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а икономическа и конкурентна пазарна среда с цел подобряване на производствените процеси, повишаване на производствения капацитет и засилване на експортния потенциал на предприятията.</w:t>
      </w:r>
    </w:p>
    <w:p w:rsidR="00822A38" w:rsidRPr="00822A38" w:rsidRDefault="00822A38" w:rsidP="00A9676F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 </w:t>
      </w:r>
    </w:p>
    <w:p w:rsidR="00AC38C3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 xml:space="preserve">Приложимият режим на помощ по настоящата процедура за подбор на проекти </w:t>
      </w:r>
      <w:r w:rsidRPr="00AC38C3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 xml:space="preserve">е </w:t>
      </w:r>
      <w:r w:rsidR="00AC38C3" w:rsidRPr="00AC38C3">
        <w:rPr>
          <w:rFonts w:ascii="Arial" w:eastAsia="Times New Roman" w:hAnsi="Arial" w:cs="Arial"/>
          <w:b/>
          <w:color w:val="000000"/>
          <w:sz w:val="19"/>
          <w:szCs w:val="19"/>
          <w:lang w:eastAsia="bg-BG"/>
        </w:rPr>
        <w:t>помощ „de minimis”</w:t>
      </w:r>
      <w:r w:rsidR="00AC38C3" w:rsidRPr="00AC38C3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 съгласно Регламент (ЕС) № 1407/2013 на Комисията от 18 декември 2013 г. относно прилагането на членове 107 и 108 от Договора за функциониране на Европейския съюз към помощта „de minimis“.</w:t>
      </w:r>
    </w:p>
    <w:p w:rsidR="00AC38C3" w:rsidRPr="00822A38" w:rsidRDefault="00AC38C3" w:rsidP="00A9676F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C93622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Процедурата за безвъзмездна финансова помощ се реализира с финансовата подкрепа на </w:t>
      </w: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Европейския съюз чрез Европейския фонд за регионално развитие</w:t>
      </w:r>
      <w:r w:rsidR="00C93622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 xml:space="preserve"> на основание Споразумение № РД50-195/29.11.2016г. за изпълнение на Стратегия за Водено от общностите местно развитие</w:t>
      </w: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.</w:t>
      </w:r>
    </w:p>
    <w:p w:rsidR="00C93622" w:rsidRDefault="00C93622" w:rsidP="00B834EB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C93622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Проектите следва да се изпълняват на територията на </w:t>
      </w:r>
      <w:r w:rsidR="00AC38C3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Община Марица</w:t>
      </w: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. </w:t>
      </w:r>
    </w:p>
    <w:p w:rsidR="00C93622" w:rsidRDefault="00C93622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</w:pPr>
    </w:p>
    <w:p w:rsidR="00C30259" w:rsidRDefault="00822A38" w:rsidP="00C30259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Общият размер на безвъзмездната финансова</w:t>
      </w:r>
      <w:r w:rsidR="00AC38C3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 xml:space="preserve"> помощ по процедурата е 900 000 </w:t>
      </w: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лева.</w:t>
      </w: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    </w:t>
      </w:r>
    </w:p>
    <w:p w:rsidR="00C30259" w:rsidRDefault="00C30259" w:rsidP="00C30259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961C45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Допустими по процедурата са проекти, включващи следните дейности:</w:t>
      </w:r>
    </w:p>
    <w:p w:rsidR="00961C45" w:rsidRDefault="00961C45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961C45" w:rsidRPr="00961C45" w:rsidRDefault="00961C45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961C4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1. Подкрепа за общи производствени инвестиции за подобряване на производствения капацитет за растеж чрез ефективното и ефикасно използване на факторите на производство и чрез изграждането на възможности за възприемане и адаптиране на европейски и международни знания и технологии. Дейностите трябва да са насочени към:</w:t>
      </w:r>
    </w:p>
    <w:p w:rsidR="00961C45" w:rsidRPr="00961C45" w:rsidRDefault="00961C45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961C4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- повишаване на производителността; и/или</w:t>
      </w:r>
    </w:p>
    <w:p w:rsidR="00961C45" w:rsidRPr="00961C45" w:rsidRDefault="00961C45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961C4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- ефективното и ефикасно използване на факторите на производство (човешки капитал, природни ресурси и технологии), чрез внедряване на нови технологии/практики/методи/системи за подобряване на ресурсната ефективност и ефикасност в производствения процес; и/или</w:t>
      </w:r>
    </w:p>
    <w:p w:rsidR="00961C45" w:rsidRPr="00961C45" w:rsidRDefault="00961C45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961C4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- подобряване на производствените процеси чрез инвестиции в дълготрайни материални и нематериални активи; и/или</w:t>
      </w:r>
    </w:p>
    <w:p w:rsidR="00961C45" w:rsidRPr="00961C45" w:rsidRDefault="00961C45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961C4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- въвеждане на водещи технологични решения и/или реинженеринг на процеси, вкл. чрез въвеждане на добри практики/технологични методи/технологии/процеси за намаляване консумацията на природни ресурси, безотпадни технологии, оползотворяване на вторични суровини и производствените отпадъци, регенериране и др; и/или</w:t>
      </w:r>
    </w:p>
    <w:p w:rsidR="00961C45" w:rsidRPr="00961C45" w:rsidRDefault="00961C45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961C4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- разширяване на производството чрез добавяне на нови характеристики или подобряване на съществуващите продукти и услуги; и/или</w:t>
      </w:r>
    </w:p>
    <w:p w:rsidR="00961C45" w:rsidRPr="00961C45" w:rsidRDefault="00961C45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961C4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- диверсификация на дейността чрез разнообразяване на портфолиото на предприятията и достъп до пазари.</w:t>
      </w:r>
    </w:p>
    <w:p w:rsidR="00961C45" w:rsidRDefault="00961C45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961C4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2. Дейности за информиране и публичност.</w:t>
      </w:r>
    </w:p>
    <w:p w:rsidR="00182AF5" w:rsidRDefault="00182AF5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961C45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Подаването на проектните предложения</w:t>
      </w: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 по процедурата с</w:t>
      </w:r>
      <w:r w:rsidR="00961C45" w:rsidRPr="00961C45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(ИСУН 2020) единствено с използването на валиден Квалифициран електронен подпис (КЕП), чрез модула „Е-кандидатстване“ на следния интернет адрес: https://eumis2020.government.bg .</w:t>
      </w:r>
    </w:p>
    <w:p w:rsidR="00822A38" w:rsidRPr="00822A38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lastRenderedPageBreak/>
        <w:t> </w:t>
      </w:r>
    </w:p>
    <w:p w:rsidR="00822A38" w:rsidRPr="004D6F8B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 xml:space="preserve">Процедурата е с </w:t>
      </w:r>
      <w:r w:rsidRPr="004D6F8B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три крайни срока </w:t>
      </w: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за подаване на проектни предложения както следва:</w:t>
      </w:r>
    </w:p>
    <w:p w:rsidR="004F6FDC" w:rsidRPr="004D6F8B" w:rsidRDefault="00C011BC" w:rsidP="00964B38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bg-BG"/>
        </w:rPr>
      </w:pP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Първи</w:t>
      </w:r>
      <w:r w:rsidRPr="004D6F8B">
        <w:rPr>
          <w:rFonts w:ascii="Arial" w:eastAsia="Times New Roman" w:hAnsi="Arial" w:cs="Arial"/>
          <w:color w:val="000000"/>
          <w:sz w:val="19"/>
          <w:szCs w:val="19"/>
          <w:lang w:val="en-US" w:eastAsia="bg-BG"/>
        </w:rPr>
        <w:t xml:space="preserve"> </w:t>
      </w: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краен срок - </w:t>
      </w:r>
      <w:r w:rsidR="00455F77" w:rsidRPr="004D6F8B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bg-BG"/>
        </w:rPr>
        <w:t>30</w:t>
      </w:r>
      <w:r w:rsidR="00964B38" w:rsidRPr="004D6F8B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bg-BG"/>
        </w:rPr>
        <w:t>.</w:t>
      </w:r>
      <w:r w:rsidR="00964B38" w:rsidRPr="004D6F8B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bg-BG"/>
        </w:rPr>
        <w:t>01</w:t>
      </w:r>
      <w:r w:rsidR="00964B38" w:rsidRPr="004D6F8B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bg-BG"/>
        </w:rPr>
        <w:t>.201</w:t>
      </w:r>
      <w:r w:rsidR="00964B38" w:rsidRPr="004D6F8B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val="en-US" w:eastAsia="bg-BG"/>
        </w:rPr>
        <w:t>8</w:t>
      </w:r>
      <w:r w:rsidR="004F6FDC" w:rsidRPr="004D6F8B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bg-BG"/>
        </w:rPr>
        <w:t>г. – 17.00часа</w:t>
      </w:r>
    </w:p>
    <w:p w:rsidR="000C12B7" w:rsidRPr="004D6F8B" w:rsidRDefault="000C12B7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0C12B7" w:rsidRPr="004D6F8B" w:rsidRDefault="004F6FDC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Втори </w:t>
      </w:r>
      <w:r w:rsidR="00C011BC"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краен срок -</w:t>
      </w: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 </w:t>
      </w:r>
      <w:r w:rsidR="000C12B7"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31.03.2018г. 17.00 часа. (в случай че са налични остатъчни средства от първия краен срок за подаване на проектни предложения)</w:t>
      </w:r>
    </w:p>
    <w:p w:rsidR="000C12B7" w:rsidRPr="004D6F8B" w:rsidRDefault="000C12B7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0C12B7" w:rsidRPr="004D6F8B" w:rsidRDefault="004F6FDC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Трети</w:t>
      </w:r>
      <w:r w:rsidR="000C12B7"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 </w:t>
      </w:r>
      <w:r w:rsidR="00C011BC"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краен срок - </w:t>
      </w: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 </w:t>
      </w:r>
      <w:r w:rsidR="000C12B7"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31.08.2018г. 17.00 часа. (в случай че са налични остатъчни средства от първия и втория краен срок за подаване на проектни предложения)</w:t>
      </w:r>
    </w:p>
    <w:p w:rsidR="000C12B7" w:rsidRPr="004D6F8B" w:rsidRDefault="000C12B7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822A38" w:rsidRPr="004D6F8B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4D6F8B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Предоставяне на допълнителна информация: </w:t>
      </w:r>
    </w:p>
    <w:p w:rsidR="00822A38" w:rsidRPr="004D6F8B" w:rsidRDefault="00822A38" w:rsidP="00A9676F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Кандидатите могат да задават допълнителни въпроси и да искат разяснения във връзка с Насоките за кандидатстване до 21 дни преди крайния срок за подаване на проектни предложения. Допълнителни въпроси могат да се задават само по електронната поща, посочена по-долу, като ясно се посочва наименованието на процедурата за подбор на проекти:</w:t>
      </w:r>
    </w:p>
    <w:p w:rsidR="000C12B7" w:rsidRPr="004D6F8B" w:rsidRDefault="0054609A" w:rsidP="00A9676F">
      <w:pPr>
        <w:tabs>
          <w:tab w:val="left" w:pos="7797"/>
        </w:tabs>
        <w:spacing w:after="6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 </w:t>
      </w:r>
      <w:r w:rsidR="00822A38"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Адрес на електронна поща: </w:t>
      </w:r>
      <w:r w:rsidR="000C12B7" w:rsidRPr="004D6F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leader_maritsa</w:t>
      </w:r>
      <w:r w:rsidR="00964B38" w:rsidRPr="004D6F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_m08opic</w:t>
      </w:r>
      <w:r w:rsidR="000C12B7" w:rsidRPr="004D6F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@abv.bg</w:t>
      </w:r>
      <w:r w:rsidR="000C12B7" w:rsidRPr="004D6F8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22A38" w:rsidRPr="004D6F8B" w:rsidRDefault="00822A38" w:rsidP="00A9676F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</w:p>
    <w:p w:rsidR="00822A38" w:rsidRPr="00822A38" w:rsidRDefault="00822A38" w:rsidP="00A9676F">
      <w:pPr>
        <w:spacing w:after="6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4D6F8B">
        <w:rPr>
          <w:rFonts w:ascii="Arial" w:eastAsia="Times New Roman" w:hAnsi="Arial" w:cs="Arial"/>
          <w:color w:val="000000"/>
          <w:sz w:val="19"/>
          <w:szCs w:val="19"/>
          <w:lang w:eastAsia="bg-BG"/>
        </w:rPr>
        <w:t>Не могат да се дават разяснения, които съдържат становище относно качеството</w:t>
      </w:r>
      <w:r w:rsidRPr="00822A38">
        <w:rPr>
          <w:rFonts w:ascii="Arial" w:eastAsia="Times New Roman" w:hAnsi="Arial" w:cs="Arial"/>
          <w:color w:val="000000"/>
          <w:sz w:val="19"/>
          <w:szCs w:val="19"/>
          <w:lang w:eastAsia="bg-BG"/>
        </w:rPr>
        <w:t xml:space="preserve"> на конкретно проектно предложение. Няма да бъдат предоставяни отговори на въпроси, зададени по телефона. Няма да бъдат изпращани индивидуални отговори на зададени от кандидатите по процедурата въпроси.</w:t>
      </w:r>
    </w:p>
    <w:p w:rsidR="00822A38" w:rsidRPr="00822A38" w:rsidRDefault="00822A38" w:rsidP="00A9676F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822A38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 </w:t>
      </w:r>
    </w:p>
    <w:p w:rsidR="00822A38" w:rsidRPr="00822A38" w:rsidRDefault="006901CC" w:rsidP="006901CC">
      <w:pPr>
        <w:spacing w:after="0" w:line="240" w:lineRule="auto"/>
        <w:ind w:left="-284" w:right="-284"/>
        <w:jc w:val="both"/>
        <w:rPr>
          <w:rFonts w:ascii="Arial" w:eastAsia="Times New Roman" w:hAnsi="Arial" w:cs="Arial"/>
          <w:color w:val="000000"/>
          <w:sz w:val="19"/>
          <w:szCs w:val="19"/>
          <w:lang w:eastAsia="bg-BG"/>
        </w:rPr>
      </w:pPr>
      <w:r w:rsidRPr="006901CC">
        <w:rPr>
          <w:rFonts w:ascii="Arial" w:eastAsia="Times New Roman" w:hAnsi="Arial" w:cs="Arial"/>
          <w:b/>
          <w:bCs/>
          <w:color w:val="000000"/>
          <w:sz w:val="19"/>
          <w:szCs w:val="19"/>
          <w:lang w:eastAsia="bg-BG"/>
        </w:rPr>
        <w:t>Пълният пакет документи и Насоките за кандидатстване по процедурата са публикувани на следните интернет адреси: www.leader_maritsa.eu и www.eumis2020.government.bg.</w:t>
      </w:r>
    </w:p>
    <w:sectPr w:rsidR="00822A38" w:rsidRPr="00822A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5D" w:rsidRDefault="00C46E5D" w:rsidP="003944D1">
      <w:pPr>
        <w:spacing w:after="0" w:line="240" w:lineRule="auto"/>
      </w:pPr>
      <w:r>
        <w:separator/>
      </w:r>
    </w:p>
  </w:endnote>
  <w:endnote w:type="continuationSeparator" w:id="0">
    <w:p w:rsidR="00C46E5D" w:rsidRDefault="00C46E5D" w:rsidP="0039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5D" w:rsidRDefault="00C46E5D" w:rsidP="003944D1">
      <w:pPr>
        <w:spacing w:after="0" w:line="240" w:lineRule="auto"/>
      </w:pPr>
      <w:r>
        <w:separator/>
      </w:r>
    </w:p>
  </w:footnote>
  <w:footnote w:type="continuationSeparator" w:id="0">
    <w:p w:rsidR="00C46E5D" w:rsidRDefault="00C46E5D" w:rsidP="0039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526"/>
      <w:tblW w:w="528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9"/>
      <w:gridCol w:w="3716"/>
      <w:gridCol w:w="1822"/>
      <w:gridCol w:w="1712"/>
    </w:tblGrid>
    <w:tr w:rsidR="003944D1" w:rsidRPr="003944D1" w:rsidTr="009F7F96">
      <w:trPr>
        <w:trHeight w:val="1408"/>
      </w:trPr>
      <w:tc>
        <w:tcPr>
          <w:tcW w:w="1308" w:type="pct"/>
          <w:vAlign w:val="center"/>
          <w:hideMark/>
        </w:tcPr>
        <w:p w:rsidR="003944D1" w:rsidRPr="003944D1" w:rsidRDefault="003944D1" w:rsidP="003944D1">
          <w:pPr>
            <w:spacing w:after="160"/>
            <w:jc w:val="center"/>
            <w:rPr>
              <w:rFonts w:ascii="Calibri" w:eastAsia="Calibri" w:hAnsi="Calibri" w:cs="Times New Roman"/>
              <w:b/>
              <w:sz w:val="20"/>
              <w:szCs w:val="20"/>
            </w:rPr>
          </w:pPr>
          <w:r w:rsidRPr="003944D1">
            <w:rPr>
              <w:rFonts w:ascii="Calibri" w:eastAsia="Calibri" w:hAnsi="Calibri" w:cs="Times New Roman"/>
              <w:noProof/>
              <w:szCs w:val="20"/>
              <w:lang w:eastAsia="bg-BG"/>
            </w:rPr>
            <w:drawing>
              <wp:inline distT="0" distB="0" distL="0" distR="0" wp14:anchorId="39354686" wp14:editId="4BDF5BEB">
                <wp:extent cx="1076325" cy="981075"/>
                <wp:effectExtent l="0" t="0" r="9525" b="9525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2" w:type="pct"/>
          <w:hideMark/>
        </w:tcPr>
        <w:p w:rsidR="003944D1" w:rsidRPr="003944D1" w:rsidRDefault="003944D1" w:rsidP="003944D1">
          <w:pPr>
            <w:spacing w:after="160"/>
            <w:jc w:val="center"/>
            <w:rPr>
              <w:rFonts w:ascii="Calibri" w:eastAsia="Calibri" w:hAnsi="Calibri" w:cs="Times New Roman"/>
              <w:b/>
            </w:rPr>
          </w:pPr>
          <w:r w:rsidRPr="003944D1">
            <w:rPr>
              <w:rFonts w:ascii="Calibri" w:eastAsia="Calibri" w:hAnsi="Calibri" w:cs="Times New Roman"/>
              <w:noProof/>
              <w:szCs w:val="20"/>
              <w:lang w:eastAsia="bg-BG"/>
            </w:rPr>
            <w:drawing>
              <wp:inline distT="0" distB="0" distL="0" distR="0" wp14:anchorId="52D62D06" wp14:editId="7D8A132C">
                <wp:extent cx="1876425" cy="838200"/>
                <wp:effectExtent l="0" t="0" r="9525" b="0"/>
                <wp:docPr id="3" name="Картина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35" t="15169" r="15656" b="633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" w:type="pct"/>
          <w:hideMark/>
        </w:tcPr>
        <w:p w:rsidR="003944D1" w:rsidRPr="003944D1" w:rsidRDefault="003944D1" w:rsidP="003944D1">
          <w:pPr>
            <w:spacing w:after="160"/>
            <w:rPr>
              <w:rFonts w:ascii="Calibri" w:eastAsia="Calibri" w:hAnsi="Calibri" w:cs="Times New Roman"/>
              <w:b/>
            </w:rPr>
          </w:pPr>
        </w:p>
        <w:p w:rsidR="003944D1" w:rsidRPr="003944D1" w:rsidRDefault="003944D1" w:rsidP="003944D1">
          <w:pPr>
            <w:spacing w:after="160"/>
            <w:jc w:val="center"/>
            <w:rPr>
              <w:rFonts w:ascii="Calibri" w:eastAsia="Calibri" w:hAnsi="Calibri" w:cs="Times New Roman"/>
              <w:b/>
            </w:rPr>
          </w:pPr>
          <w:r w:rsidRPr="003944D1">
            <w:rPr>
              <w:rFonts w:ascii="Calibri" w:eastAsia="Calibri" w:hAnsi="Calibri" w:cs="Times New Roman"/>
              <w:b/>
              <w:noProof/>
              <w:lang w:eastAsia="bg-BG"/>
            </w:rPr>
            <w:drawing>
              <wp:inline distT="0" distB="0" distL="0" distR="0" wp14:anchorId="350E7094" wp14:editId="06019F55">
                <wp:extent cx="762000" cy="600075"/>
                <wp:effectExtent l="0" t="0" r="0" b="9525"/>
                <wp:docPr id="4" name="Картина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" w:type="pct"/>
        </w:tcPr>
        <w:p w:rsidR="003944D1" w:rsidRPr="003944D1" w:rsidRDefault="003944D1" w:rsidP="003944D1">
          <w:pPr>
            <w:spacing w:after="160"/>
            <w:rPr>
              <w:rFonts w:ascii="Calibri" w:eastAsia="Calibri" w:hAnsi="Calibri" w:cs="Times New Roman"/>
              <w:b/>
            </w:rPr>
          </w:pPr>
        </w:p>
        <w:p w:rsidR="003944D1" w:rsidRPr="003944D1" w:rsidRDefault="003944D1" w:rsidP="003944D1">
          <w:pPr>
            <w:spacing w:after="160"/>
            <w:jc w:val="center"/>
            <w:rPr>
              <w:rFonts w:ascii="Calibri" w:eastAsia="Calibri" w:hAnsi="Calibri" w:cs="Times New Roman"/>
              <w:b/>
            </w:rPr>
          </w:pPr>
          <w:r w:rsidRPr="003944D1">
            <w:rPr>
              <w:rFonts w:ascii="Times New Roman" w:eastAsia="Times New Roman" w:hAnsi="Times New Roman" w:cs="Times New Roman"/>
              <w:i/>
              <w:noProof/>
              <w:sz w:val="20"/>
              <w:szCs w:val="20"/>
              <w:lang w:eastAsia="bg-BG"/>
            </w:rPr>
            <w:drawing>
              <wp:inline distT="0" distB="0" distL="0" distR="0" wp14:anchorId="074A30E3" wp14:editId="44422000">
                <wp:extent cx="914400" cy="600075"/>
                <wp:effectExtent l="19050" t="19050" r="19050" b="28575"/>
                <wp:docPr id="5" name="Картина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  <w:tr w:rsidR="003944D1" w:rsidRPr="003944D1" w:rsidTr="009F7F96">
      <w:trPr>
        <w:trHeight w:val="268"/>
      </w:trPr>
      <w:tc>
        <w:tcPr>
          <w:tcW w:w="5000" w:type="pct"/>
          <w:gridSpan w:val="4"/>
          <w:vAlign w:val="center"/>
        </w:tcPr>
        <w:p w:rsidR="003944D1" w:rsidRPr="003944D1" w:rsidRDefault="003944D1" w:rsidP="003944D1">
          <w:pPr>
            <w:spacing w:after="160"/>
            <w:jc w:val="center"/>
            <w:rPr>
              <w:rFonts w:ascii="Calibri" w:eastAsia="Calibri" w:hAnsi="Calibri" w:cs="Times New Roman"/>
              <w:b/>
              <w:iCs/>
              <w:sz w:val="20"/>
              <w:szCs w:val="20"/>
            </w:rPr>
          </w:pPr>
          <w:r w:rsidRPr="003944D1">
            <w:rPr>
              <w:rFonts w:ascii="Calibri" w:eastAsia="Calibri" w:hAnsi="Calibri" w:cs="Times New Roman"/>
              <w:b/>
              <w:iCs/>
              <w:sz w:val="20"/>
              <w:szCs w:val="20"/>
            </w:rPr>
            <w:t>ВОДЕНО ОТ ОБЩНОСТИТЕ МЕСТНО РАЗВИТИЕ</w:t>
          </w:r>
        </w:p>
      </w:tc>
    </w:tr>
    <w:tr w:rsidR="003944D1" w:rsidRPr="003944D1" w:rsidTr="009F7F96">
      <w:trPr>
        <w:trHeight w:val="70"/>
      </w:trPr>
      <w:tc>
        <w:tcPr>
          <w:tcW w:w="5000" w:type="pct"/>
          <w:gridSpan w:val="4"/>
          <w:vAlign w:val="center"/>
        </w:tcPr>
        <w:p w:rsidR="003944D1" w:rsidRPr="003944D1" w:rsidRDefault="003944D1" w:rsidP="003944D1">
          <w:pPr>
            <w:spacing w:after="160"/>
            <w:jc w:val="center"/>
            <w:rPr>
              <w:rFonts w:ascii="Calibri" w:eastAsia="Calibri" w:hAnsi="Calibri" w:cs="Times New Roman"/>
              <w:b/>
              <w:iCs/>
              <w:sz w:val="20"/>
              <w:szCs w:val="20"/>
            </w:rPr>
          </w:pPr>
          <w:r w:rsidRPr="003944D1">
            <w:rPr>
              <w:rFonts w:ascii="Calibri" w:eastAsia="Calibri" w:hAnsi="Calibri" w:cs="Times New Roman"/>
              <w:b/>
              <w:iCs/>
              <w:sz w:val="20"/>
              <w:szCs w:val="20"/>
            </w:rPr>
            <w:t xml:space="preserve">МЕСТНА ИНИЦИАТИВНА ГРУПА </w:t>
          </w:r>
          <w:r w:rsidRPr="003944D1">
            <w:rPr>
              <w:rFonts w:ascii="Calibri" w:eastAsia="Calibri" w:hAnsi="Calibri" w:cs="Times New Roman"/>
              <w:b/>
              <w:iCs/>
              <w:sz w:val="20"/>
              <w:szCs w:val="20"/>
              <w:lang w:val="en-US"/>
            </w:rPr>
            <w:t xml:space="preserve">– </w:t>
          </w:r>
          <w:r w:rsidRPr="003944D1">
            <w:rPr>
              <w:rFonts w:ascii="Calibri" w:eastAsia="Calibri" w:hAnsi="Calibri" w:cs="Times New Roman"/>
              <w:b/>
              <w:iCs/>
              <w:sz w:val="20"/>
              <w:szCs w:val="20"/>
            </w:rPr>
            <w:t>ОБЩИНА МАРИЦА</w:t>
          </w:r>
        </w:p>
      </w:tc>
    </w:tr>
  </w:tbl>
  <w:p w:rsidR="003944D1" w:rsidRDefault="003944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A6D"/>
    <w:multiLevelType w:val="multilevel"/>
    <w:tmpl w:val="4344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74417"/>
    <w:multiLevelType w:val="multilevel"/>
    <w:tmpl w:val="D6E4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44FD8"/>
    <w:multiLevelType w:val="multilevel"/>
    <w:tmpl w:val="AAB6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3275B"/>
    <w:multiLevelType w:val="multilevel"/>
    <w:tmpl w:val="10E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C409F0"/>
    <w:multiLevelType w:val="multilevel"/>
    <w:tmpl w:val="E50A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D71D87"/>
    <w:multiLevelType w:val="multilevel"/>
    <w:tmpl w:val="0F4C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4F"/>
    <w:rsid w:val="000C12B7"/>
    <w:rsid w:val="001243A5"/>
    <w:rsid w:val="00182AF5"/>
    <w:rsid w:val="00217E65"/>
    <w:rsid w:val="0026074F"/>
    <w:rsid w:val="0029463A"/>
    <w:rsid w:val="00345DC1"/>
    <w:rsid w:val="0038459B"/>
    <w:rsid w:val="003944D1"/>
    <w:rsid w:val="00396EE6"/>
    <w:rsid w:val="00455F77"/>
    <w:rsid w:val="004639CF"/>
    <w:rsid w:val="0049160A"/>
    <w:rsid w:val="004D6F8B"/>
    <w:rsid w:val="004F6FDC"/>
    <w:rsid w:val="0054609A"/>
    <w:rsid w:val="005D22BC"/>
    <w:rsid w:val="005D5F8E"/>
    <w:rsid w:val="005E70A1"/>
    <w:rsid w:val="006901CC"/>
    <w:rsid w:val="0079049B"/>
    <w:rsid w:val="00822A38"/>
    <w:rsid w:val="00945DC4"/>
    <w:rsid w:val="00961C45"/>
    <w:rsid w:val="00964B38"/>
    <w:rsid w:val="009D108C"/>
    <w:rsid w:val="00A35026"/>
    <w:rsid w:val="00A84A2B"/>
    <w:rsid w:val="00A9676F"/>
    <w:rsid w:val="00AC38C3"/>
    <w:rsid w:val="00B834EB"/>
    <w:rsid w:val="00BD2779"/>
    <w:rsid w:val="00C011BC"/>
    <w:rsid w:val="00C30259"/>
    <w:rsid w:val="00C46E5D"/>
    <w:rsid w:val="00C93622"/>
    <w:rsid w:val="00CA5AE2"/>
    <w:rsid w:val="00DA3BD4"/>
    <w:rsid w:val="00DF503E"/>
    <w:rsid w:val="00F8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944D1"/>
  </w:style>
  <w:style w:type="paragraph" w:styleId="a5">
    <w:name w:val="footer"/>
    <w:basedOn w:val="a"/>
    <w:link w:val="a6"/>
    <w:uiPriority w:val="99"/>
    <w:unhideWhenUsed/>
    <w:rsid w:val="0039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944D1"/>
  </w:style>
  <w:style w:type="paragraph" w:styleId="a7">
    <w:name w:val="Balloon Text"/>
    <w:basedOn w:val="a"/>
    <w:link w:val="a8"/>
    <w:uiPriority w:val="99"/>
    <w:semiHidden/>
    <w:unhideWhenUsed/>
    <w:rsid w:val="0039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944D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61C4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9160A"/>
    <w:pPr>
      <w:spacing w:after="0" w:line="240" w:lineRule="auto"/>
    </w:pPr>
    <w:rPr>
      <w:sz w:val="20"/>
      <w:szCs w:val="20"/>
    </w:rPr>
  </w:style>
  <w:style w:type="character" w:customStyle="1" w:styleId="ab">
    <w:name w:val="Текст под линия Знак"/>
    <w:basedOn w:val="a0"/>
    <w:link w:val="aa"/>
    <w:uiPriority w:val="99"/>
    <w:semiHidden/>
    <w:rsid w:val="0049160A"/>
    <w:rPr>
      <w:sz w:val="20"/>
      <w:szCs w:val="20"/>
    </w:rPr>
  </w:style>
  <w:style w:type="character" w:styleId="ac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unhideWhenUsed/>
    <w:rsid w:val="004916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944D1"/>
  </w:style>
  <w:style w:type="paragraph" w:styleId="a5">
    <w:name w:val="footer"/>
    <w:basedOn w:val="a"/>
    <w:link w:val="a6"/>
    <w:uiPriority w:val="99"/>
    <w:unhideWhenUsed/>
    <w:rsid w:val="0039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944D1"/>
  </w:style>
  <w:style w:type="paragraph" w:styleId="a7">
    <w:name w:val="Balloon Text"/>
    <w:basedOn w:val="a"/>
    <w:link w:val="a8"/>
    <w:uiPriority w:val="99"/>
    <w:semiHidden/>
    <w:unhideWhenUsed/>
    <w:rsid w:val="0039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944D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61C4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9160A"/>
    <w:pPr>
      <w:spacing w:after="0" w:line="240" w:lineRule="auto"/>
    </w:pPr>
    <w:rPr>
      <w:sz w:val="20"/>
      <w:szCs w:val="20"/>
    </w:rPr>
  </w:style>
  <w:style w:type="character" w:customStyle="1" w:styleId="ab">
    <w:name w:val="Текст под линия Знак"/>
    <w:basedOn w:val="a0"/>
    <w:link w:val="aa"/>
    <w:uiPriority w:val="99"/>
    <w:semiHidden/>
    <w:rsid w:val="0049160A"/>
    <w:rPr>
      <w:sz w:val="20"/>
      <w:szCs w:val="20"/>
    </w:rPr>
  </w:style>
  <w:style w:type="character" w:styleId="ac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unhideWhenUsed/>
    <w:rsid w:val="004916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Mitko Semkov</cp:lastModifiedBy>
  <cp:revision>3</cp:revision>
  <cp:lastPrinted>2017-11-13T13:34:00Z</cp:lastPrinted>
  <dcterms:created xsi:type="dcterms:W3CDTF">2017-11-21T08:38:00Z</dcterms:created>
  <dcterms:modified xsi:type="dcterms:W3CDTF">2017-11-27T07:32:00Z</dcterms:modified>
</cp:coreProperties>
</file>